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9568F0" w14:paraId="1935665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EF6E608" w14:textId="77777777" w:rsidR="009568F0" w:rsidRDefault="00695D63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0E3AB74" w14:textId="77777777" w:rsidR="009568F0" w:rsidRDefault="00695D63">
            <w:pPr>
              <w:spacing w:after="0" w:line="240" w:lineRule="auto"/>
            </w:pPr>
            <w:r>
              <w:t>19038</w:t>
            </w:r>
          </w:p>
        </w:tc>
      </w:tr>
      <w:tr w:rsidR="009568F0" w14:paraId="397CB95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0A50D33" w14:textId="77777777" w:rsidR="009568F0" w:rsidRDefault="00695D63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6F82A54" w14:textId="77777777" w:rsidR="009568F0" w:rsidRDefault="00695D63">
            <w:pPr>
              <w:spacing w:after="0" w:line="240" w:lineRule="auto"/>
            </w:pPr>
            <w:r>
              <w:t>OBRTNIČKA ŠKOLA BJELOVAR</w:t>
            </w:r>
          </w:p>
        </w:tc>
      </w:tr>
      <w:tr w:rsidR="009568F0" w14:paraId="58ADF23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0DE72B5" w14:textId="77777777" w:rsidR="009568F0" w:rsidRDefault="00695D63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0E33D27" w14:textId="77777777" w:rsidR="009568F0" w:rsidRDefault="00695D63">
            <w:pPr>
              <w:spacing w:after="0" w:line="240" w:lineRule="auto"/>
            </w:pPr>
            <w:r>
              <w:t>31</w:t>
            </w:r>
          </w:p>
        </w:tc>
      </w:tr>
    </w:tbl>
    <w:p w14:paraId="2432D0EC" w14:textId="77777777" w:rsidR="009568F0" w:rsidRDefault="00695D63">
      <w:r>
        <w:br/>
      </w:r>
    </w:p>
    <w:p w14:paraId="4C85C181" w14:textId="77777777" w:rsidR="009568F0" w:rsidRDefault="00695D63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25D4E8D" w14:textId="77777777" w:rsidR="009568F0" w:rsidRDefault="00695D63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09B4527" w14:textId="77777777" w:rsidR="009568F0" w:rsidRDefault="00695D63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FB8990C" w14:textId="77777777" w:rsidR="009568F0" w:rsidRDefault="009568F0"/>
    <w:p w14:paraId="57D43DD2" w14:textId="77777777" w:rsidR="009568F0" w:rsidRDefault="00695D63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45480AD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597E12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D92917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0A32B1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479A3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F55D19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01455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CF3DAD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19F3F3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A527F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FAACC8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C35922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3F5D72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602.091,21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F0AE0F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667.513,61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5278DF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110,9</w:t>
            </w:r>
          </w:p>
        </w:tc>
      </w:tr>
      <w:tr w:rsidR="009568F0" w14:paraId="63C8264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E1C11C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BA2C3B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3FC43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56C09A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619.526,12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27B941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778.343,99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FAACE9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125,6</w:t>
            </w:r>
          </w:p>
        </w:tc>
      </w:tr>
      <w:tr w:rsidR="009568F0" w14:paraId="4FD5507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7093FC" w14:textId="77777777" w:rsidR="009568F0" w:rsidRDefault="009568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E9F480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55B70E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5C64CA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17.434,91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933E8D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110.830,38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D35E4C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635,7</w:t>
            </w:r>
          </w:p>
        </w:tc>
      </w:tr>
      <w:tr w:rsidR="009568F0" w14:paraId="3623ED4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7DC52B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01E2D5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67C18C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78EC3B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0B5B24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1.065,00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B4476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568F0" w14:paraId="284EF4E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533CE7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54178C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</w:t>
            </w:r>
            <w:r>
              <w:rPr>
                <w:sz w:val="18"/>
              </w:rPr>
              <w:t>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18477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79EEB4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3.868,25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C746C1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4.631,09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F2525F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119,7</w:t>
            </w:r>
          </w:p>
        </w:tc>
      </w:tr>
      <w:tr w:rsidR="009568F0" w14:paraId="740C471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154AEE" w14:textId="77777777" w:rsidR="009568F0" w:rsidRDefault="009568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E87B9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D9C4FD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67112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3.868,25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09C694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3.566,09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140B8F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92,2</w:t>
            </w:r>
          </w:p>
        </w:tc>
      </w:tr>
      <w:tr w:rsidR="009568F0" w14:paraId="2B73EBA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10048A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8AEB2F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6D6E1A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259104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3941C9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9D9543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568F0" w14:paraId="3478D1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23537C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468746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</w:t>
            </w:r>
            <w:r>
              <w:rPr>
                <w:sz w:val="18"/>
              </w:rPr>
              <w:t>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C0705B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A32A81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A2495E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E55EF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568F0" w14:paraId="02362AD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FAD0D1" w14:textId="77777777" w:rsidR="009568F0" w:rsidRDefault="009568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29A626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D7D52F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1A5845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B933FF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0C8AD0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568F0" w14:paraId="60BD8A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16A623" w14:textId="77777777" w:rsidR="009568F0" w:rsidRDefault="009568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F08EB8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9FF8F2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1E160F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21.303,16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41157D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114.396,47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E246AA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537,0</w:t>
            </w:r>
          </w:p>
        </w:tc>
      </w:tr>
    </w:tbl>
    <w:p w14:paraId="627AFB2E" w14:textId="77777777" w:rsidR="009568F0" w:rsidRDefault="009568F0">
      <w:pPr>
        <w:spacing w:after="0"/>
      </w:pPr>
    </w:p>
    <w:p w14:paraId="2302FE43" w14:textId="77777777" w:rsidR="009568F0" w:rsidRDefault="00695D63">
      <w:pPr>
        <w:spacing w:line="240" w:lineRule="auto"/>
        <w:jc w:val="both"/>
      </w:pPr>
      <w:r>
        <w:t xml:space="preserve">Provedeno je knjiženje po Odluci o raspodjeli rezultata za 2024. godinu u 2025. godini kojom se pokrio manjak od nefinancijske imovine viškom prihoda poslovanja, te je nakon raspodjele rezultata višak prihoda iznosi 49.551,38 eura, </w:t>
      </w:r>
      <w:r>
        <w:t>dok je preneseni manjak od nefinancijske imovine u iznosu od 602,88 eura. U obračunskom razdoblju ostvaren je manjak poslovanja u iznosu od 114.396,47 eura. Razlog nastanka manjka se sastoji od 7 rashoda iz Državnog proračuna za plaću u iznosu od =86.998,4</w:t>
      </w:r>
      <w:r>
        <w:t xml:space="preserve">5 eura, dok prihoda je ostvareno 6. Od Agencije za mobilnost i programe EU za projekt Erasmus + "Obrtnici bez granica " vlastita sredstva su </w:t>
      </w:r>
      <w:r>
        <w:lastRenderedPageBreak/>
        <w:t>dobivena u 2024. god =24.689,34 eura te je prenesen višak u 2025. godi. a realizacija projekta je u 2025. godini =2</w:t>
      </w:r>
      <w:r>
        <w:t>0.506,62 eura, iskazano kroz utrošak, odnosno manjak. Iz nadležnog proračuna izvor decentralizirana sredstva za redovne troškove iskazan je manjak =1.107,00 eura , a odnosi se na: prihod za račune redovnog poslovanja iz decentraliziranih sredstva koje ćemo</w:t>
      </w:r>
      <w:r>
        <w:t xml:space="preserve"> dobiti u 7 mjesecu u iznosu =2.241,15,: računi koji su nam plaćeni u 2025. godini, a odnose se na račune za 2024. godinu: prijevoz za 6/2025 =2.996,98 eura koji će nam biti plaćen u 7 mjesecu ,: ponuda plaćena, a još nije usluga izvršena =100,00 eura: put</w:t>
      </w:r>
      <w:r>
        <w:t xml:space="preserve">ni nalog =40,50 koji je obračunat, a biti će isplaćen u 7 mjesecu. Manjak prihoda u iznosu od =289,98 odnosi se na E-tehničara gdje je sa 30.06. knjižen trošak, a prihod ćemo ostvariti u 7 mjesecu. Prihod je ostvaren =418,00 eura, a odnosi se na prihod za </w:t>
      </w:r>
      <w:r>
        <w:t xml:space="preserve">posebne namjene, od izdavanja duplikata </w:t>
      </w:r>
      <w:proofErr w:type="spellStart"/>
      <w:r>
        <w:t>svjedožbi</w:t>
      </w:r>
      <w:proofErr w:type="spellEnd"/>
      <w:r>
        <w:t>.  Vlastiti prihod ostvareni od kamate banke, članarina i zarada posredovanja od Učeničkog servisa , te najma prostora za aparate za tople napitke iskazan je manjak u iznosu od 5.912,42 eura , a odnosi se na</w:t>
      </w:r>
      <w:r>
        <w:t xml:space="preserve"> radove sanacije poda u dvije učionice za koje je preneseni prihod ostvaren u 2024. godini , a trošak u 2025. godini.</w:t>
      </w:r>
    </w:p>
    <w:p w14:paraId="44E10F0E" w14:textId="77777777" w:rsidR="009568F0" w:rsidRDefault="00695D63">
      <w:r>
        <w:br/>
      </w:r>
    </w:p>
    <w:p w14:paraId="090B6734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03E108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82E493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879519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FB4AD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732D75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A3CED3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</w:t>
            </w:r>
            <w:r>
              <w:rPr>
                <w:b/>
                <w:sz w:val="18"/>
              </w:rPr>
              <w:t xml:space="preserve">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424F17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223A73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0C82ED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07B5AF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D1D08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393EE8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530.387,31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2F13F0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598.433,11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1CA6DE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112,8</w:t>
            </w:r>
          </w:p>
        </w:tc>
      </w:tr>
    </w:tbl>
    <w:p w14:paraId="377A7C7C" w14:textId="77777777" w:rsidR="009568F0" w:rsidRDefault="009568F0">
      <w:pPr>
        <w:spacing w:after="0"/>
      </w:pPr>
    </w:p>
    <w:p w14:paraId="71066D2C" w14:textId="77777777" w:rsidR="009568F0" w:rsidRDefault="00695D63">
      <w:pPr>
        <w:spacing w:line="240" w:lineRule="auto"/>
        <w:jc w:val="both"/>
      </w:pPr>
      <w:r>
        <w:t xml:space="preserve">Ostvareno je povećanje prihoda u odnosu na isto razdoblje 2024. godine zbog donošenje novog zakona o plaćama i </w:t>
      </w:r>
      <w:r>
        <w:t>Uredbe o nazivima radnih mjesta, uvjetima za raspored i koeficijentima za obračun plaća u javnim službama (NN 22/2024 od 26.02.2024.), te povećanje osnovice za obračun plaće, koja je povećana za 3% u odnosu na isto razdoblje prethodne godine.  Isto tako od</w:t>
      </w:r>
      <w:r>
        <w:t xml:space="preserve"> 01.01.2025. godine obveze za plaću knjiženje se na zadnji dan 30. ili 31. u mjesecu , a dospijeće je u idućem mjesecu, odnosno 13 rashoda će biti u 2025. godini, dok u prethodnoj se prihod i trošak priznavao sa datumom isplate.</w:t>
      </w:r>
    </w:p>
    <w:p w14:paraId="1E971FCE" w14:textId="77777777" w:rsidR="009568F0" w:rsidRDefault="009568F0"/>
    <w:p w14:paraId="26ABEE31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5D309F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DD84CD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3C6C63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16E97C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07F384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15F502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51057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3B68319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61709E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2A2A9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B026B1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C90D3F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0E058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F6DC25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7431F89" w14:textId="77777777" w:rsidR="009568F0" w:rsidRDefault="009568F0">
      <w:pPr>
        <w:spacing w:after="0"/>
      </w:pPr>
    </w:p>
    <w:p w14:paraId="551D8EA7" w14:textId="77777777" w:rsidR="009568F0" w:rsidRDefault="00695D63">
      <w:pPr>
        <w:spacing w:line="240" w:lineRule="auto"/>
        <w:jc w:val="both"/>
      </w:pPr>
      <w:r>
        <w:t xml:space="preserve">Škola je ostvarila znatno povećanje </w:t>
      </w:r>
      <w:r>
        <w:t>prihoda od kamate za novčana sredstva koja ima na žiro računu kod Privredne banke Zagreb, jer sredstva zarade od Učeničkog servisa, te uplata za novi projekt Erasmus+ biti će realizirani tijekom 2025. godine, te ta sredstva su djelomično  potrošena.</w:t>
      </w:r>
    </w:p>
    <w:p w14:paraId="69F68C3C" w14:textId="77777777" w:rsidR="009568F0" w:rsidRDefault="009568F0"/>
    <w:p w14:paraId="326EC565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lastRenderedPageBreak/>
        <w:t>Bilje</w:t>
      </w:r>
      <w:r>
        <w:rPr>
          <w:sz w:val="28"/>
        </w:rPr>
        <w:t>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13C39D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97873C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2BF6F0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AD55D8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C2EE4D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3CC79A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C251AA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577517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87DB6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F862D8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F4D84E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1AE80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441728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432,60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391F5E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2963,0</w:t>
            </w:r>
          </w:p>
        </w:tc>
      </w:tr>
    </w:tbl>
    <w:p w14:paraId="421B94A8" w14:textId="77777777" w:rsidR="009568F0" w:rsidRDefault="009568F0">
      <w:pPr>
        <w:spacing w:after="0"/>
      </w:pPr>
    </w:p>
    <w:p w14:paraId="3722CE51" w14:textId="77777777" w:rsidR="009568F0" w:rsidRDefault="00695D63">
      <w:pPr>
        <w:spacing w:line="240" w:lineRule="auto"/>
        <w:jc w:val="both"/>
      </w:pPr>
      <w:r>
        <w:t xml:space="preserve">Sredstva su namjenska za izradu </w:t>
      </w:r>
      <w:proofErr w:type="spellStart"/>
      <w:r>
        <w:t>svjedožbi</w:t>
      </w:r>
      <w:proofErr w:type="spellEnd"/>
      <w:r>
        <w:t>.</w:t>
      </w:r>
    </w:p>
    <w:p w14:paraId="4D51D8BC" w14:textId="77777777" w:rsidR="009568F0" w:rsidRDefault="009568F0"/>
    <w:p w14:paraId="57F47FEF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2829F3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DCD348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A25ABC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7F8F26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A38F22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B6B53D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53AD3D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6DCA4CE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687BC9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61B68A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za financiranje rashoda za nabavu </w:t>
            </w:r>
            <w:r>
              <w:rPr>
                <w:sz w:val="18"/>
              </w:rPr>
              <w:t>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A4DB52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7EB71F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2.064,72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44146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5.233,97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CF7BB8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253,5</w:t>
            </w:r>
          </w:p>
        </w:tc>
      </w:tr>
    </w:tbl>
    <w:p w14:paraId="04F56548" w14:textId="77777777" w:rsidR="009568F0" w:rsidRDefault="009568F0">
      <w:pPr>
        <w:spacing w:after="0"/>
      </w:pPr>
    </w:p>
    <w:p w14:paraId="553B3E84" w14:textId="77777777" w:rsidR="009568F0" w:rsidRDefault="00695D63">
      <w:pPr>
        <w:spacing w:line="240" w:lineRule="auto"/>
        <w:jc w:val="both"/>
      </w:pPr>
      <w:r>
        <w:t xml:space="preserve">Prihodi  su povećani zbog nabavke laptopa 5 komada za rad učenika, dosadašnji su dotrajali i nisu bili dovoljni za obavljanje rada, </w:t>
      </w:r>
      <w:proofErr w:type="spellStart"/>
      <w:r>
        <w:t>rezać</w:t>
      </w:r>
      <w:proofErr w:type="spellEnd"/>
      <w:r>
        <w:t xml:space="preserve"> papira , čekić bušač, te stalak za motor za </w:t>
      </w:r>
      <w:r>
        <w:t>automehaničare.</w:t>
      </w:r>
    </w:p>
    <w:p w14:paraId="5CDA331B" w14:textId="77777777" w:rsidR="009568F0" w:rsidRDefault="009568F0"/>
    <w:p w14:paraId="39E774E4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34D075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7C1FB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DAE92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30813A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DA36A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709C48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2865A5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337F678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492991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CC6E0D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A6C26A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7D203E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20.004,18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4ACC28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40.474,14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86E802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202,3</w:t>
            </w:r>
          </w:p>
        </w:tc>
      </w:tr>
    </w:tbl>
    <w:p w14:paraId="39B34E81" w14:textId="77777777" w:rsidR="009568F0" w:rsidRDefault="009568F0">
      <w:pPr>
        <w:spacing w:after="0"/>
      </w:pPr>
    </w:p>
    <w:p w14:paraId="2ED78800" w14:textId="77777777" w:rsidR="009568F0" w:rsidRDefault="00695D63">
      <w:pPr>
        <w:spacing w:line="240" w:lineRule="auto"/>
        <w:jc w:val="both"/>
      </w:pPr>
      <w:r>
        <w:t>Rashodi su povećani jer su bila provedena dva projekta ERASMUS+ u Češku i Njemačku , te maturalac koji se ne ide svake godine, već svake druge.</w:t>
      </w:r>
    </w:p>
    <w:p w14:paraId="1D893960" w14:textId="77777777" w:rsidR="009568F0" w:rsidRDefault="009568F0"/>
    <w:p w14:paraId="346AD564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6E0D71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893C0B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D115E4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417F87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C6501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FC90F9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</w:t>
            </w:r>
            <w:r>
              <w:rPr>
                <w:b/>
                <w:sz w:val="18"/>
              </w:rPr>
              <w:t xml:space="preserve">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5286E1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460C5F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CA2C5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1360F8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7BC46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29EFF2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3.854,33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E6D28E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7.319,64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2881E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189,9</w:t>
            </w:r>
          </w:p>
        </w:tc>
      </w:tr>
    </w:tbl>
    <w:p w14:paraId="63BA5599" w14:textId="77777777" w:rsidR="009568F0" w:rsidRDefault="009568F0">
      <w:pPr>
        <w:spacing w:after="0"/>
      </w:pPr>
    </w:p>
    <w:p w14:paraId="7E72C351" w14:textId="77777777" w:rsidR="009568F0" w:rsidRDefault="00695D63">
      <w:pPr>
        <w:spacing w:line="240" w:lineRule="auto"/>
        <w:jc w:val="both"/>
      </w:pPr>
      <w:r>
        <w:t xml:space="preserve">Službena putovanja su znatno veće jer osim redovnih putovanja za edukacije zaposlenih, ove godine su isplaćene dnevnice za maturalna </w:t>
      </w:r>
      <w:r>
        <w:t>putovanja . Na maturalna putovanja se ne ide svake godine, već svake druge godine.</w:t>
      </w:r>
    </w:p>
    <w:p w14:paraId="13BBFA7B" w14:textId="77777777" w:rsidR="009568F0" w:rsidRDefault="009568F0"/>
    <w:p w14:paraId="2D85047F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2E0A1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0A3E5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07B23B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4D549B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B3899C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B31491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28D1EB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6F88D18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079A49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B6C41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8CF9C6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56F7D8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407,12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6F0E49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1.764,69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83C0D1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433,5</w:t>
            </w:r>
          </w:p>
        </w:tc>
      </w:tr>
    </w:tbl>
    <w:p w14:paraId="6EDB7D23" w14:textId="77777777" w:rsidR="009568F0" w:rsidRDefault="009568F0">
      <w:pPr>
        <w:spacing w:after="0"/>
      </w:pPr>
    </w:p>
    <w:p w14:paraId="755C9808" w14:textId="77777777" w:rsidR="009568F0" w:rsidRDefault="00695D63">
      <w:pPr>
        <w:spacing w:line="240" w:lineRule="auto"/>
        <w:jc w:val="both"/>
      </w:pPr>
      <w:r>
        <w:t>Pošto je škola u energetskoj obnovi nakon krečenja zidova naručeni su novi okviri za slike, zavjese, te kutije za prvu pomoć koji su bili dotrajali i stari.</w:t>
      </w:r>
    </w:p>
    <w:p w14:paraId="7C414F88" w14:textId="77777777" w:rsidR="009568F0" w:rsidRDefault="009568F0"/>
    <w:p w14:paraId="70951282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6F4B1B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F3FA0B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CC325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B506BB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D011D2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486F9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EEE16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61D6EC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67A546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3C3A55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6A8CB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D64C64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353,20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3D473B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654,57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E29765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185,3</w:t>
            </w:r>
          </w:p>
        </w:tc>
      </w:tr>
    </w:tbl>
    <w:p w14:paraId="0D338A42" w14:textId="77777777" w:rsidR="009568F0" w:rsidRDefault="009568F0">
      <w:pPr>
        <w:spacing w:after="0"/>
      </w:pPr>
    </w:p>
    <w:p w14:paraId="0D4BC25F" w14:textId="77777777" w:rsidR="009568F0" w:rsidRDefault="00695D63">
      <w:pPr>
        <w:spacing w:line="240" w:lineRule="auto"/>
        <w:jc w:val="both"/>
      </w:pPr>
      <w:r>
        <w:t xml:space="preserve">Povećan rashod za radnu odjeću povećan je zbog </w:t>
      </w:r>
      <w:r>
        <w:t>nabave odjeće za projekt Erasmus +</w:t>
      </w:r>
    </w:p>
    <w:p w14:paraId="2E6C796D" w14:textId="77777777" w:rsidR="009568F0" w:rsidRDefault="009568F0"/>
    <w:p w14:paraId="127B05F2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305FAE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9FC2F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087F50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08EF42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CFB6F3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AA91C6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A71866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314B8F7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C05807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FDF666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Usluge tekućeg i investicijskog </w:t>
            </w:r>
            <w:r>
              <w:rPr>
                <w:sz w:val="18"/>
              </w:rPr>
              <w:t>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E26DC9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9AA3D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3.733,19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8C57A2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12.994,38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0AA43E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348,1</w:t>
            </w:r>
          </w:p>
        </w:tc>
      </w:tr>
    </w:tbl>
    <w:p w14:paraId="3ACB2012" w14:textId="77777777" w:rsidR="009568F0" w:rsidRDefault="009568F0">
      <w:pPr>
        <w:spacing w:after="0"/>
      </w:pPr>
    </w:p>
    <w:p w14:paraId="1D9A1E98" w14:textId="77777777" w:rsidR="009568F0" w:rsidRDefault="00695D63">
      <w:pPr>
        <w:spacing w:line="240" w:lineRule="auto"/>
        <w:jc w:val="both"/>
      </w:pPr>
      <w:r>
        <w:t>U prošloj 2024. godini nisu potrošena vlastita sredstva, te se je u 2025. god. izradio novi pod u dvjema učionicama.</w:t>
      </w:r>
    </w:p>
    <w:p w14:paraId="3C946EB5" w14:textId="77777777" w:rsidR="009568F0" w:rsidRDefault="009568F0"/>
    <w:p w14:paraId="2567E627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30AFA0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F53C30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12C4F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1C3005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6B114D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837684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665AA1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0077032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AF987D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79EDFE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AC0967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F1B659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2.388,00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ED269D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3.527,13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EF03F1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147,7</w:t>
            </w:r>
          </w:p>
        </w:tc>
      </w:tr>
    </w:tbl>
    <w:p w14:paraId="70C0C2E6" w14:textId="77777777" w:rsidR="009568F0" w:rsidRDefault="009568F0">
      <w:pPr>
        <w:spacing w:after="0"/>
      </w:pPr>
    </w:p>
    <w:p w14:paraId="2E01DDF1" w14:textId="77777777" w:rsidR="009568F0" w:rsidRDefault="00695D63">
      <w:pPr>
        <w:spacing w:line="240" w:lineRule="auto"/>
        <w:jc w:val="both"/>
      </w:pPr>
      <w:r>
        <w:t xml:space="preserve">Ove godine povećan je broj zaposlenih koji su bili obavezni pristupiti obveznom liječničkom </w:t>
      </w:r>
      <w:r>
        <w:t>pregledu.</w:t>
      </w:r>
    </w:p>
    <w:p w14:paraId="18AC2EDC" w14:textId="77777777" w:rsidR="009568F0" w:rsidRDefault="009568F0"/>
    <w:p w14:paraId="208E6C44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028D96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DC24FA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834E1C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583FF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9BD97A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F2EDD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9C419B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475EDE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D83E43" w14:textId="77777777" w:rsidR="009568F0" w:rsidRDefault="009568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D9446A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22908E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108461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17.434,91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B3738C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110.830,38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64BACC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635,7</w:t>
            </w:r>
          </w:p>
        </w:tc>
      </w:tr>
    </w:tbl>
    <w:p w14:paraId="1D789C0B" w14:textId="77777777" w:rsidR="009568F0" w:rsidRDefault="009568F0">
      <w:pPr>
        <w:spacing w:after="0"/>
      </w:pPr>
    </w:p>
    <w:p w14:paraId="3707223F" w14:textId="77777777" w:rsidR="009568F0" w:rsidRDefault="00695D63">
      <w:pPr>
        <w:spacing w:line="240" w:lineRule="auto"/>
        <w:jc w:val="both"/>
      </w:pPr>
      <w:r>
        <w:t>Znatno povećani manjak prihoda odnosi se na plaće gdje je knjižen trošak 6 mjeseca, a prihod nije ostvaren, te će biti ostvaren u 7 mjesecu kada će i plaća biti isplaćena u iznosu =86.998,45.  Isto tako knjiženi računi decentralizacija za redovno poslovanj</w:t>
      </w:r>
      <w:r>
        <w:t xml:space="preserve">e nisu podmireni, te će biti plaćeni  i prihod ostvaren u 7 mjesecu =3.524,09. Vlastita sredstva u redovnom poslovanju u 2025. godini su u manjku, koji će se pokriti prenesenim viškom poslovanja koji je ostvaren u 2024. godini, jer sredstva nisu potrošena </w:t>
      </w:r>
      <w:r>
        <w:t>=6.977,42.  Isto tako projekt ERASMUS+ "Obrtnici bez granica"  prihod je ostvaren u 2024. godini, a projekt je proveden u 2025. godini =20.506,62. E-tehničar je knjiženo 6 rashod, a prihod  za 6 mjesec će biti ostvaren u 7 mjesecu kada će biti i plaćeno. =</w:t>
      </w:r>
      <w:r>
        <w:t xml:space="preserve">289,98. Vlastiti prihod od  =418,00 ostvaren je od izrade duplikata </w:t>
      </w:r>
      <w:proofErr w:type="spellStart"/>
      <w:r>
        <w:t>svjedožbi</w:t>
      </w:r>
      <w:proofErr w:type="spellEnd"/>
      <w:r>
        <w:t>.</w:t>
      </w:r>
    </w:p>
    <w:p w14:paraId="27B992F8" w14:textId="77777777" w:rsidR="009568F0" w:rsidRDefault="009568F0"/>
    <w:p w14:paraId="154803E5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4B2ACB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CA2CD4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26832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833E1A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F21C60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3759C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7D0B65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61D5CBD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CDD4FA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704EBD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i pruženih usluga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899348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E41D34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412AE2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89.255,68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16F585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1FA508C" w14:textId="77777777" w:rsidR="009568F0" w:rsidRDefault="009568F0">
      <w:pPr>
        <w:spacing w:after="0"/>
      </w:pPr>
    </w:p>
    <w:p w14:paraId="5AF0E958" w14:textId="77777777" w:rsidR="009568F0" w:rsidRDefault="00695D63">
      <w:pPr>
        <w:spacing w:line="240" w:lineRule="auto"/>
        <w:jc w:val="both"/>
      </w:pPr>
      <w:r>
        <w:t xml:space="preserve">OD 01.01.2025. godine ukinula se podskupina 193, te se kontinuirani budući  rashodi razdoblja prenose na rashode zaduženje odgovarajućih osnovnih računa </w:t>
      </w:r>
      <w:r>
        <w:t>razreda 3 Rashoda poslovanja.  Uz knjiženje razreda 3, prema Pravilniku pomoći dane unutar općeg proračuna priznat ćemo na kraju razdoblja pripadajućeg troška istovremeno evidentiranjem obveza za isplatu.</w:t>
      </w:r>
    </w:p>
    <w:p w14:paraId="6734B0AE" w14:textId="77777777" w:rsidR="009568F0" w:rsidRDefault="009568F0"/>
    <w:p w14:paraId="6B6AE9A3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19222A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91F7AA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D732DD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C716BC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00AF4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71189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CA4769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1760997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CE52DA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4D45E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proizvedene dugotrajne imovine (šifre 721+722+723+724+725+726)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7F2DB9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09C94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7B960B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1.065,00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37D12E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FED510F" w14:textId="77777777" w:rsidR="009568F0" w:rsidRDefault="009568F0">
      <w:pPr>
        <w:spacing w:after="0"/>
      </w:pPr>
    </w:p>
    <w:p w14:paraId="7E4BA7ED" w14:textId="77777777" w:rsidR="009568F0" w:rsidRDefault="00695D63">
      <w:pPr>
        <w:spacing w:line="240" w:lineRule="auto"/>
        <w:jc w:val="both"/>
      </w:pPr>
      <w:r>
        <w:t xml:space="preserve">Škola je na temelju Odluke </w:t>
      </w:r>
      <w:r>
        <w:t>Čelnika prodala dotrajalu i zastarjelu nefinancijsku imovinu u iznosu od 1.065,00 eura.</w:t>
      </w:r>
    </w:p>
    <w:p w14:paraId="37763C7D" w14:textId="77777777" w:rsidR="009568F0" w:rsidRDefault="009568F0"/>
    <w:p w14:paraId="4DFB57F5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lastRenderedPageBreak/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56FA3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6A35F5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A4DDAF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D948B5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C72232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7794DA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967457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74A095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2F2AC6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88C2E6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A9CAA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CFF4A8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2.428,53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E9AD45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4.232,34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A8FA8C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174,3</w:t>
            </w:r>
          </w:p>
        </w:tc>
      </w:tr>
    </w:tbl>
    <w:p w14:paraId="4F92D072" w14:textId="77777777" w:rsidR="009568F0" w:rsidRDefault="009568F0">
      <w:pPr>
        <w:spacing w:after="0"/>
      </w:pPr>
    </w:p>
    <w:p w14:paraId="4E537390" w14:textId="77777777" w:rsidR="009568F0" w:rsidRDefault="00695D63">
      <w:pPr>
        <w:spacing w:line="240" w:lineRule="auto"/>
        <w:jc w:val="both"/>
      </w:pPr>
      <w:r>
        <w:t xml:space="preserve">Rashodi su povećani zbog nabavke laptopa 5 komada za rad učenika, dosadašnji su dotrajali i nisu bili dovoljni za obavljanje rada, </w:t>
      </w:r>
      <w:proofErr w:type="spellStart"/>
      <w:r>
        <w:t>rezać</w:t>
      </w:r>
      <w:proofErr w:type="spellEnd"/>
      <w:r>
        <w:t xml:space="preserve"> papira , čekić bušač, te stalak za motor za </w:t>
      </w:r>
      <w:r>
        <w:t>automehaničare.</w:t>
      </w:r>
    </w:p>
    <w:p w14:paraId="72854675" w14:textId="77777777" w:rsidR="009568F0" w:rsidRDefault="009568F0"/>
    <w:p w14:paraId="7DECECF6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568F0" w14:paraId="4D409D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4BA051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51FC26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43048B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11E798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EE744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F0C19E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22E9AE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E6D579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984F9C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novčanih sredstava na kraju izvještajnog razdoblja (šifre 11P + </w:t>
            </w:r>
            <w:r>
              <w:rPr>
                <w:sz w:val="18"/>
              </w:rPr>
              <w:t>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32E68A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C3384A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10.520,42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5347E7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FA144D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79D1BCFB" w14:textId="77777777" w:rsidR="009568F0" w:rsidRDefault="009568F0">
      <w:pPr>
        <w:spacing w:after="0"/>
      </w:pPr>
    </w:p>
    <w:p w14:paraId="7E4BDBAC" w14:textId="77777777" w:rsidR="009568F0" w:rsidRDefault="00695D63">
      <w:pPr>
        <w:spacing w:line="240" w:lineRule="auto"/>
        <w:jc w:val="both"/>
      </w:pPr>
      <w:r>
        <w:t xml:space="preserve">U svrhu uvođenja jedinstvenog računa na 19. sjednici Županijske skupštine Bjelovarsko-bilogorske županije 1. listopada 2024. godine donesena je  Odluka o uvođenju jedinstvenog računa , </w:t>
      </w:r>
      <w:r>
        <w:t>KLASA:400-01/24-01/06, URBROJ:2103-16-24-3 . Na temelju Obavijesti o prelasku na jedinstveni račun i zatvaranju postojećih poslovnih računa morali smo zatvoriti svoj poslovni račun s datumom 28. travnja 2025. godine.</w:t>
      </w:r>
    </w:p>
    <w:p w14:paraId="3F37444E" w14:textId="77777777" w:rsidR="009568F0" w:rsidRDefault="009568F0"/>
    <w:p w14:paraId="464430B0" w14:textId="77777777" w:rsidR="009568F0" w:rsidRDefault="00695D63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410CAD4C" w14:textId="77777777" w:rsidR="009568F0" w:rsidRDefault="00695D63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568F0" w14:paraId="313393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6122E4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</w:t>
            </w:r>
            <w:r>
              <w:rPr>
                <w:b/>
                <w:sz w:val="18"/>
              </w:rPr>
              <w:t xml:space="preserve">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8435FC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17BE04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E18581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CB8ED7" w14:textId="77777777" w:rsidR="009568F0" w:rsidRDefault="00695D6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68F0" w14:paraId="2C68A5A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BF431E" w14:textId="77777777" w:rsidR="009568F0" w:rsidRDefault="009568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7EA314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42ED2F" w14:textId="77777777" w:rsidR="009568F0" w:rsidRDefault="00695D6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9229BF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636,03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586005" w14:textId="77777777" w:rsidR="009568F0" w:rsidRDefault="00695D6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5A747F0" w14:textId="77777777" w:rsidR="009568F0" w:rsidRDefault="009568F0">
      <w:pPr>
        <w:spacing w:after="0"/>
      </w:pPr>
    </w:p>
    <w:p w14:paraId="3D7FA757" w14:textId="77777777" w:rsidR="009568F0" w:rsidRDefault="00695D63">
      <w:pPr>
        <w:spacing w:line="240" w:lineRule="auto"/>
        <w:jc w:val="both"/>
      </w:pPr>
      <w:r>
        <w:t xml:space="preserve">Dospjele, a neplaćene obavezu se odnose na: 1.  Grad Bjelovar =152,60  - račun je </w:t>
      </w:r>
      <w:r>
        <w:t xml:space="preserve">došao iza 20.06., te nije bio zadan na plaćanje, a odnosi se na 6 mjesec 2025. 2. Sirovina Bjelovar =10,00 - račun je došao iza 20.06., te nije mogao biti zadan na plaćanje u 6 mjesecu 3. </w:t>
      </w:r>
      <w:proofErr w:type="spellStart"/>
      <w:r>
        <w:t>Canofax</w:t>
      </w:r>
      <w:proofErr w:type="spellEnd"/>
      <w:r>
        <w:t xml:space="preserve"> Bjelovar =157,93 -  račun je došao iza 20.06., te nije mogao</w:t>
      </w:r>
      <w:r>
        <w:t xml:space="preserve"> biti zadan na plaćanje u 6 mjesecu 4. Putni nalog Štefančić Goran,  =40,50  - 51/2025 obračunat 27.06.2025. - isplata krajem 7 mjeseca 5. Tokić d.o.o. = 275,00  -  račun je došao iza 20.06., te nije mogao biti zadan na plaćanje u 6 mjesecu</w:t>
      </w:r>
    </w:p>
    <w:p w14:paraId="654396AF" w14:textId="77777777" w:rsidR="009568F0" w:rsidRDefault="009568F0"/>
    <w:sectPr w:rsidR="0095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F0"/>
    <w:rsid w:val="00695D63"/>
    <w:rsid w:val="009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0E5B"/>
  <w15:docId w15:val="{AE36EBF1-B476-4A63-962E-E1C14149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1708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2025-07-31T08:14:00Z</cp:lastPrinted>
  <dcterms:created xsi:type="dcterms:W3CDTF">2025-07-31T08:16:00Z</dcterms:created>
  <dcterms:modified xsi:type="dcterms:W3CDTF">2025-07-31T08:16:00Z</dcterms:modified>
</cp:coreProperties>
</file>