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463087" w14:paraId="412B3522" w14:textId="77777777">
        <w:tblPrEx>
          <w:tblCellMar>
            <w:top w:w="0" w:type="dxa"/>
            <w:bottom w:w="0" w:type="dxa"/>
          </w:tblCellMar>
        </w:tblPrEx>
        <w:trPr>
          <w:tblCellSpacing w:w="60" w:type="dxa"/>
        </w:trPr>
        <w:tc>
          <w:tcPr>
            <w:tcW w:w="1200" w:type="pct"/>
            <w:shd w:val="clear" w:color="auto" w:fill="E7F0F9"/>
          </w:tcPr>
          <w:p w14:paraId="64D4C4F1" w14:textId="77777777" w:rsidR="00463087" w:rsidRDefault="008511FF">
            <w:pPr>
              <w:spacing w:after="0" w:line="240" w:lineRule="auto"/>
            </w:pPr>
            <w:r>
              <w:rPr>
                <w:b/>
              </w:rPr>
              <w:t>RKP broj</w:t>
            </w:r>
          </w:p>
        </w:tc>
        <w:tc>
          <w:tcPr>
            <w:tcW w:w="0" w:type="auto"/>
            <w:shd w:val="clear" w:color="auto" w:fill="E7F0F9"/>
          </w:tcPr>
          <w:p w14:paraId="51944BC2" w14:textId="77777777" w:rsidR="00463087" w:rsidRDefault="008511FF">
            <w:pPr>
              <w:spacing w:after="0" w:line="240" w:lineRule="auto"/>
            </w:pPr>
            <w:r>
              <w:t>19038</w:t>
            </w:r>
          </w:p>
        </w:tc>
      </w:tr>
      <w:tr w:rsidR="00463087" w14:paraId="05AC66C0" w14:textId="77777777">
        <w:tblPrEx>
          <w:tblCellMar>
            <w:top w:w="0" w:type="dxa"/>
            <w:bottom w:w="0" w:type="dxa"/>
          </w:tblCellMar>
        </w:tblPrEx>
        <w:trPr>
          <w:tblCellSpacing w:w="60" w:type="dxa"/>
        </w:trPr>
        <w:tc>
          <w:tcPr>
            <w:tcW w:w="1200" w:type="pct"/>
            <w:shd w:val="clear" w:color="auto" w:fill="E7F0F9"/>
          </w:tcPr>
          <w:p w14:paraId="31A22328" w14:textId="77777777" w:rsidR="00463087" w:rsidRDefault="008511FF">
            <w:pPr>
              <w:spacing w:after="0" w:line="240" w:lineRule="auto"/>
            </w:pPr>
            <w:r>
              <w:rPr>
                <w:b/>
              </w:rPr>
              <w:t>Naziv obveznika</w:t>
            </w:r>
          </w:p>
        </w:tc>
        <w:tc>
          <w:tcPr>
            <w:tcW w:w="0" w:type="auto"/>
            <w:shd w:val="clear" w:color="auto" w:fill="E7F0F9"/>
          </w:tcPr>
          <w:p w14:paraId="342B8C26" w14:textId="77777777" w:rsidR="00463087" w:rsidRDefault="008511FF">
            <w:pPr>
              <w:spacing w:after="0" w:line="240" w:lineRule="auto"/>
            </w:pPr>
            <w:r>
              <w:t>OBRTNIČKA ŠKOLA BJELOVAR</w:t>
            </w:r>
          </w:p>
        </w:tc>
      </w:tr>
      <w:tr w:rsidR="00463087" w14:paraId="24EF6764" w14:textId="77777777">
        <w:tblPrEx>
          <w:tblCellMar>
            <w:top w:w="0" w:type="dxa"/>
            <w:bottom w:w="0" w:type="dxa"/>
          </w:tblCellMar>
        </w:tblPrEx>
        <w:trPr>
          <w:tblCellSpacing w:w="60" w:type="dxa"/>
        </w:trPr>
        <w:tc>
          <w:tcPr>
            <w:tcW w:w="1200" w:type="pct"/>
            <w:shd w:val="clear" w:color="auto" w:fill="E7F0F9"/>
          </w:tcPr>
          <w:p w14:paraId="41EE782A" w14:textId="77777777" w:rsidR="00463087" w:rsidRDefault="008511FF">
            <w:pPr>
              <w:spacing w:after="0" w:line="240" w:lineRule="auto"/>
            </w:pPr>
            <w:r>
              <w:rPr>
                <w:b/>
              </w:rPr>
              <w:t>Razina</w:t>
            </w:r>
          </w:p>
        </w:tc>
        <w:tc>
          <w:tcPr>
            <w:tcW w:w="0" w:type="auto"/>
            <w:shd w:val="clear" w:color="auto" w:fill="E7F0F9"/>
          </w:tcPr>
          <w:p w14:paraId="7484C7BC" w14:textId="77777777" w:rsidR="00463087" w:rsidRDefault="008511FF">
            <w:pPr>
              <w:spacing w:after="0" w:line="240" w:lineRule="auto"/>
            </w:pPr>
            <w:r>
              <w:t>31</w:t>
            </w:r>
          </w:p>
        </w:tc>
      </w:tr>
    </w:tbl>
    <w:p w14:paraId="0F5E36FB" w14:textId="77777777" w:rsidR="00463087" w:rsidRDefault="008511FF">
      <w:r>
        <w:br/>
      </w:r>
    </w:p>
    <w:p w14:paraId="2C6FF1E2" w14:textId="77777777" w:rsidR="00463087" w:rsidRDefault="008511FF">
      <w:pPr>
        <w:spacing w:line="240" w:lineRule="auto"/>
        <w:jc w:val="center"/>
      </w:pPr>
      <w:r>
        <w:rPr>
          <w:b/>
          <w:sz w:val="28"/>
        </w:rPr>
        <w:t>BILJEŠKE UZ FINANCIJSKE IZVJEŠTAJE</w:t>
      </w:r>
    </w:p>
    <w:p w14:paraId="5D9F3581" w14:textId="77777777" w:rsidR="00463087" w:rsidRDefault="008511FF">
      <w:pPr>
        <w:spacing w:line="240" w:lineRule="auto"/>
        <w:jc w:val="center"/>
      </w:pPr>
      <w:r>
        <w:rPr>
          <w:b/>
          <w:sz w:val="28"/>
        </w:rPr>
        <w:t>ZA RAZDOBLJE</w:t>
      </w:r>
    </w:p>
    <w:p w14:paraId="3FD47DDD" w14:textId="77777777" w:rsidR="00463087" w:rsidRDefault="008511FF">
      <w:pPr>
        <w:spacing w:line="240" w:lineRule="auto"/>
        <w:jc w:val="center"/>
      </w:pPr>
      <w:r>
        <w:rPr>
          <w:b/>
          <w:sz w:val="28"/>
        </w:rPr>
        <w:t>I - XII 2025.</w:t>
      </w:r>
    </w:p>
    <w:p w14:paraId="55ED659E" w14:textId="77777777" w:rsidR="00463087" w:rsidRDefault="00463087"/>
    <w:p w14:paraId="0F60528A" w14:textId="77777777" w:rsidR="00463087" w:rsidRDefault="008511FF">
      <w:pPr>
        <w:keepNext/>
        <w:spacing w:line="240" w:lineRule="auto"/>
        <w:jc w:val="center"/>
      </w:pPr>
      <w:r>
        <w:rPr>
          <w:b/>
          <w:sz w:val="28"/>
        </w:rPr>
        <w:t>Izvještaj o prihodima i rashodima, primicima i izdacima</w:t>
      </w:r>
    </w:p>
    <w:p w14:paraId="7D4B406F" w14:textId="77777777" w:rsidR="00463087" w:rsidRDefault="008511FF">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63087" w14:paraId="2095AD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F3ED64" w14:textId="77777777" w:rsidR="00463087" w:rsidRDefault="008511F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E6F3F7" w14:textId="77777777" w:rsidR="00463087" w:rsidRDefault="008511F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2A0E04" w14:textId="77777777" w:rsidR="00463087" w:rsidRDefault="008511F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688DA3" w14:textId="77777777" w:rsidR="00463087" w:rsidRDefault="008511F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0E8C6A" w14:textId="77777777" w:rsidR="00463087" w:rsidRDefault="008511F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2DB56C" w14:textId="77777777" w:rsidR="00463087" w:rsidRDefault="008511FF">
            <w:pPr>
              <w:keepNext/>
              <w:keepLines/>
              <w:spacing w:after="0" w:line="240" w:lineRule="auto"/>
              <w:jc w:val="center"/>
            </w:pPr>
            <w:r>
              <w:rPr>
                <w:b/>
                <w:sz w:val="18"/>
              </w:rPr>
              <w:t>Indeks (%)</w:t>
            </w:r>
          </w:p>
        </w:tc>
      </w:tr>
      <w:tr w:rsidR="00463087" w14:paraId="150FA2E1" w14:textId="77777777">
        <w:tblPrEx>
          <w:tblCellMar>
            <w:top w:w="0" w:type="dxa"/>
            <w:bottom w:w="0" w:type="dxa"/>
          </w:tblCellMar>
        </w:tblPrEx>
        <w:trPr>
          <w:cantSplit/>
          <w:trHeight w:val="560"/>
        </w:trPr>
        <w:tc>
          <w:tcPr>
            <w:tcW w:w="700" w:type="dxa"/>
            <w:tcMar>
              <w:top w:w="0" w:type="dxa"/>
              <w:bottom w:w="0" w:type="dxa"/>
            </w:tcMar>
            <w:vAlign w:val="center"/>
          </w:tcPr>
          <w:p w14:paraId="293D3D34" w14:textId="77777777" w:rsidR="00463087" w:rsidRDefault="008511FF">
            <w:pPr>
              <w:keepNext/>
              <w:keepLines/>
              <w:spacing w:after="0" w:line="240" w:lineRule="auto"/>
            </w:pPr>
            <w:r>
              <w:rPr>
                <w:sz w:val="18"/>
              </w:rPr>
              <w:t>6</w:t>
            </w:r>
          </w:p>
        </w:tc>
        <w:tc>
          <w:tcPr>
            <w:tcW w:w="3180" w:type="dxa"/>
            <w:tcMar>
              <w:top w:w="0" w:type="dxa"/>
              <w:bottom w:w="0" w:type="dxa"/>
            </w:tcMar>
            <w:vAlign w:val="center"/>
          </w:tcPr>
          <w:p w14:paraId="2D61B5E7" w14:textId="77777777" w:rsidR="00463087" w:rsidRDefault="008511FF">
            <w:pPr>
              <w:keepNext/>
              <w:keepLines/>
              <w:spacing w:after="0" w:line="240" w:lineRule="auto"/>
            </w:pPr>
            <w:r>
              <w:rPr>
                <w:sz w:val="18"/>
              </w:rPr>
              <w:t>PRIHODI POSLOVANJA (šifre 61+62+63+64+65+66+67+68)</w:t>
            </w:r>
          </w:p>
        </w:tc>
        <w:tc>
          <w:tcPr>
            <w:tcW w:w="700" w:type="dxa"/>
            <w:tcMar>
              <w:top w:w="0" w:type="dxa"/>
              <w:bottom w:w="0" w:type="dxa"/>
            </w:tcMar>
            <w:vAlign w:val="center"/>
          </w:tcPr>
          <w:p w14:paraId="188C39BC" w14:textId="77777777" w:rsidR="00463087" w:rsidRDefault="008511FF">
            <w:pPr>
              <w:keepNext/>
              <w:keepLines/>
              <w:spacing w:after="0" w:line="240" w:lineRule="auto"/>
            </w:pPr>
            <w:r>
              <w:rPr>
                <w:sz w:val="18"/>
              </w:rPr>
              <w:t>6</w:t>
            </w:r>
          </w:p>
        </w:tc>
        <w:tc>
          <w:tcPr>
            <w:tcW w:w="1860" w:type="dxa"/>
            <w:tcMar>
              <w:top w:w="0" w:type="dxa"/>
              <w:bottom w:w="0" w:type="dxa"/>
            </w:tcMar>
            <w:vAlign w:val="center"/>
          </w:tcPr>
          <w:p w14:paraId="568F9A77" w14:textId="77777777" w:rsidR="00463087" w:rsidRDefault="008511FF">
            <w:pPr>
              <w:keepNext/>
              <w:keepLines/>
              <w:spacing w:after="0" w:line="240" w:lineRule="auto"/>
              <w:jc w:val="right"/>
            </w:pPr>
            <w:r>
              <w:rPr>
                <w:sz w:val="18"/>
              </w:rPr>
              <w:t>1.309.233,34</w:t>
            </w:r>
          </w:p>
        </w:tc>
        <w:tc>
          <w:tcPr>
            <w:tcW w:w="1860" w:type="dxa"/>
            <w:tcMar>
              <w:top w:w="0" w:type="dxa"/>
              <w:bottom w:w="0" w:type="dxa"/>
            </w:tcMar>
            <w:vAlign w:val="center"/>
          </w:tcPr>
          <w:p w14:paraId="5E25B7C5" w14:textId="77777777" w:rsidR="00463087" w:rsidRDefault="008511FF">
            <w:pPr>
              <w:keepNext/>
              <w:keepLines/>
              <w:spacing w:after="0" w:line="240" w:lineRule="auto"/>
              <w:jc w:val="right"/>
            </w:pPr>
            <w:r>
              <w:rPr>
                <w:sz w:val="18"/>
              </w:rPr>
              <w:t>1.444.020,70</w:t>
            </w:r>
          </w:p>
        </w:tc>
        <w:tc>
          <w:tcPr>
            <w:tcW w:w="700" w:type="dxa"/>
            <w:tcMar>
              <w:top w:w="0" w:type="dxa"/>
              <w:bottom w:w="0" w:type="dxa"/>
            </w:tcMar>
            <w:vAlign w:val="center"/>
          </w:tcPr>
          <w:p w14:paraId="6807FA06" w14:textId="77777777" w:rsidR="00463087" w:rsidRDefault="008511FF">
            <w:pPr>
              <w:keepNext/>
              <w:keepLines/>
              <w:spacing w:after="0" w:line="240" w:lineRule="auto"/>
              <w:jc w:val="right"/>
            </w:pPr>
            <w:r>
              <w:rPr>
                <w:sz w:val="18"/>
              </w:rPr>
              <w:t>110,3</w:t>
            </w:r>
          </w:p>
        </w:tc>
      </w:tr>
      <w:tr w:rsidR="00463087" w14:paraId="2A8DAEAA" w14:textId="77777777">
        <w:tblPrEx>
          <w:tblCellMar>
            <w:top w:w="0" w:type="dxa"/>
            <w:bottom w:w="0" w:type="dxa"/>
          </w:tblCellMar>
        </w:tblPrEx>
        <w:trPr>
          <w:cantSplit/>
          <w:trHeight w:val="560"/>
        </w:trPr>
        <w:tc>
          <w:tcPr>
            <w:tcW w:w="700" w:type="dxa"/>
            <w:tcMar>
              <w:top w:w="0" w:type="dxa"/>
              <w:bottom w:w="0" w:type="dxa"/>
            </w:tcMar>
            <w:vAlign w:val="center"/>
          </w:tcPr>
          <w:p w14:paraId="13E85E65" w14:textId="77777777" w:rsidR="00463087" w:rsidRDefault="008511FF">
            <w:pPr>
              <w:keepNext/>
              <w:keepLines/>
              <w:spacing w:after="0" w:line="240" w:lineRule="auto"/>
            </w:pPr>
            <w:r>
              <w:rPr>
                <w:sz w:val="18"/>
              </w:rPr>
              <w:t>3</w:t>
            </w:r>
          </w:p>
        </w:tc>
        <w:tc>
          <w:tcPr>
            <w:tcW w:w="3180" w:type="dxa"/>
            <w:tcMar>
              <w:top w:w="0" w:type="dxa"/>
              <w:bottom w:w="0" w:type="dxa"/>
            </w:tcMar>
            <w:vAlign w:val="center"/>
          </w:tcPr>
          <w:p w14:paraId="5479F533" w14:textId="77777777" w:rsidR="00463087" w:rsidRDefault="008511FF">
            <w:pPr>
              <w:keepNext/>
              <w:keepLines/>
              <w:spacing w:after="0" w:line="240" w:lineRule="auto"/>
            </w:pPr>
            <w:r>
              <w:rPr>
                <w:sz w:val="18"/>
              </w:rPr>
              <w:t xml:space="preserve">RASHODI POSLOVANJA (šifre </w:t>
            </w:r>
            <w:r>
              <w:rPr>
                <w:sz w:val="18"/>
              </w:rPr>
              <w:t>31+32+34+35+36+37+38)</w:t>
            </w:r>
          </w:p>
        </w:tc>
        <w:tc>
          <w:tcPr>
            <w:tcW w:w="700" w:type="dxa"/>
            <w:tcMar>
              <w:top w:w="0" w:type="dxa"/>
              <w:bottom w:w="0" w:type="dxa"/>
            </w:tcMar>
            <w:vAlign w:val="center"/>
          </w:tcPr>
          <w:p w14:paraId="65C07B51" w14:textId="77777777" w:rsidR="00463087" w:rsidRDefault="008511FF">
            <w:pPr>
              <w:keepNext/>
              <w:keepLines/>
              <w:spacing w:after="0" w:line="240" w:lineRule="auto"/>
            </w:pPr>
            <w:r>
              <w:rPr>
                <w:sz w:val="18"/>
              </w:rPr>
              <w:t>3</w:t>
            </w:r>
          </w:p>
        </w:tc>
        <w:tc>
          <w:tcPr>
            <w:tcW w:w="1860" w:type="dxa"/>
            <w:tcMar>
              <w:top w:w="0" w:type="dxa"/>
              <w:bottom w:w="0" w:type="dxa"/>
            </w:tcMar>
            <w:vAlign w:val="center"/>
          </w:tcPr>
          <w:p w14:paraId="2447D1CE" w14:textId="77777777" w:rsidR="00463087" w:rsidRDefault="008511FF">
            <w:pPr>
              <w:keepNext/>
              <w:keepLines/>
              <w:spacing w:after="0" w:line="240" w:lineRule="auto"/>
              <w:jc w:val="right"/>
            </w:pPr>
            <w:r>
              <w:rPr>
                <w:sz w:val="18"/>
              </w:rPr>
              <w:t>1.270.917,26</w:t>
            </w:r>
          </w:p>
        </w:tc>
        <w:tc>
          <w:tcPr>
            <w:tcW w:w="1860" w:type="dxa"/>
            <w:tcMar>
              <w:top w:w="0" w:type="dxa"/>
              <w:bottom w:w="0" w:type="dxa"/>
            </w:tcMar>
            <w:vAlign w:val="center"/>
          </w:tcPr>
          <w:p w14:paraId="72489D94" w14:textId="77777777" w:rsidR="00463087" w:rsidRDefault="008511FF">
            <w:pPr>
              <w:keepNext/>
              <w:keepLines/>
              <w:spacing w:after="0" w:line="240" w:lineRule="auto"/>
              <w:jc w:val="right"/>
            </w:pPr>
            <w:r>
              <w:rPr>
                <w:sz w:val="18"/>
              </w:rPr>
              <w:t>1.534.837,37</w:t>
            </w:r>
          </w:p>
        </w:tc>
        <w:tc>
          <w:tcPr>
            <w:tcW w:w="700" w:type="dxa"/>
            <w:tcMar>
              <w:top w:w="0" w:type="dxa"/>
              <w:bottom w:w="0" w:type="dxa"/>
            </w:tcMar>
            <w:vAlign w:val="center"/>
          </w:tcPr>
          <w:p w14:paraId="66D23D7C" w14:textId="77777777" w:rsidR="00463087" w:rsidRDefault="008511FF">
            <w:pPr>
              <w:keepNext/>
              <w:keepLines/>
              <w:spacing w:after="0" w:line="240" w:lineRule="auto"/>
              <w:jc w:val="right"/>
            </w:pPr>
            <w:r>
              <w:rPr>
                <w:sz w:val="18"/>
              </w:rPr>
              <w:t>120,8</w:t>
            </w:r>
          </w:p>
        </w:tc>
      </w:tr>
      <w:tr w:rsidR="00463087" w14:paraId="788FC863" w14:textId="77777777">
        <w:tblPrEx>
          <w:tblCellMar>
            <w:top w:w="0" w:type="dxa"/>
            <w:bottom w:w="0" w:type="dxa"/>
          </w:tblCellMar>
        </w:tblPrEx>
        <w:trPr>
          <w:cantSplit/>
          <w:trHeight w:val="560"/>
        </w:trPr>
        <w:tc>
          <w:tcPr>
            <w:tcW w:w="700" w:type="dxa"/>
            <w:tcMar>
              <w:top w:w="0" w:type="dxa"/>
              <w:bottom w:w="0" w:type="dxa"/>
            </w:tcMar>
            <w:vAlign w:val="center"/>
          </w:tcPr>
          <w:p w14:paraId="187289D3" w14:textId="77777777" w:rsidR="00463087" w:rsidRDefault="00463087">
            <w:pPr>
              <w:keepNext/>
              <w:keepLines/>
              <w:spacing w:after="0" w:line="240" w:lineRule="auto"/>
            </w:pPr>
          </w:p>
        </w:tc>
        <w:tc>
          <w:tcPr>
            <w:tcW w:w="3180" w:type="dxa"/>
            <w:tcMar>
              <w:top w:w="0" w:type="dxa"/>
              <w:bottom w:w="0" w:type="dxa"/>
            </w:tcMar>
            <w:vAlign w:val="center"/>
          </w:tcPr>
          <w:p w14:paraId="7D1E23DD" w14:textId="77777777" w:rsidR="00463087" w:rsidRDefault="008511FF">
            <w:pPr>
              <w:keepNext/>
              <w:keepLines/>
              <w:spacing w:after="0" w:line="240" w:lineRule="auto"/>
            </w:pPr>
            <w:r>
              <w:rPr>
                <w:b/>
                <w:sz w:val="18"/>
              </w:rPr>
              <w:t>MANJAK PRIHODA POSLOVANJA (šifre Z005-6)</w:t>
            </w:r>
          </w:p>
        </w:tc>
        <w:tc>
          <w:tcPr>
            <w:tcW w:w="700" w:type="dxa"/>
            <w:tcMar>
              <w:top w:w="0" w:type="dxa"/>
              <w:bottom w:w="0" w:type="dxa"/>
            </w:tcMar>
            <w:vAlign w:val="center"/>
          </w:tcPr>
          <w:p w14:paraId="0852C8AE" w14:textId="77777777" w:rsidR="00463087" w:rsidRDefault="008511FF">
            <w:pPr>
              <w:keepNext/>
              <w:keepLines/>
              <w:spacing w:after="0" w:line="240" w:lineRule="auto"/>
            </w:pPr>
            <w:r>
              <w:rPr>
                <w:b/>
                <w:sz w:val="18"/>
              </w:rPr>
              <w:t>Y001</w:t>
            </w:r>
          </w:p>
        </w:tc>
        <w:tc>
          <w:tcPr>
            <w:tcW w:w="1860" w:type="dxa"/>
            <w:tcMar>
              <w:top w:w="0" w:type="dxa"/>
              <w:bottom w:w="0" w:type="dxa"/>
            </w:tcMar>
            <w:vAlign w:val="center"/>
          </w:tcPr>
          <w:p w14:paraId="6AE96432" w14:textId="77777777" w:rsidR="00463087" w:rsidRDefault="008511FF">
            <w:pPr>
              <w:keepNext/>
              <w:keepLines/>
              <w:spacing w:after="0" w:line="240" w:lineRule="auto"/>
              <w:jc w:val="right"/>
            </w:pPr>
            <w:r>
              <w:rPr>
                <w:b/>
                <w:sz w:val="18"/>
              </w:rPr>
              <w:t>0,00</w:t>
            </w:r>
          </w:p>
        </w:tc>
        <w:tc>
          <w:tcPr>
            <w:tcW w:w="1860" w:type="dxa"/>
            <w:tcMar>
              <w:top w:w="0" w:type="dxa"/>
              <w:bottom w:w="0" w:type="dxa"/>
            </w:tcMar>
            <w:vAlign w:val="center"/>
          </w:tcPr>
          <w:p w14:paraId="16B5B9B8" w14:textId="77777777" w:rsidR="00463087" w:rsidRDefault="008511FF">
            <w:pPr>
              <w:keepNext/>
              <w:keepLines/>
              <w:spacing w:after="0" w:line="240" w:lineRule="auto"/>
              <w:jc w:val="right"/>
            </w:pPr>
            <w:r>
              <w:rPr>
                <w:b/>
                <w:sz w:val="18"/>
              </w:rPr>
              <w:t>90.816,67</w:t>
            </w:r>
          </w:p>
        </w:tc>
        <w:tc>
          <w:tcPr>
            <w:tcW w:w="700" w:type="dxa"/>
            <w:tcMar>
              <w:top w:w="0" w:type="dxa"/>
              <w:bottom w:w="0" w:type="dxa"/>
            </w:tcMar>
            <w:vAlign w:val="center"/>
          </w:tcPr>
          <w:p w14:paraId="54A27C84" w14:textId="77777777" w:rsidR="00463087" w:rsidRDefault="008511FF">
            <w:pPr>
              <w:keepNext/>
              <w:keepLines/>
              <w:spacing w:after="0" w:line="240" w:lineRule="auto"/>
              <w:jc w:val="right"/>
            </w:pPr>
            <w:r>
              <w:rPr>
                <w:b/>
                <w:sz w:val="18"/>
              </w:rPr>
              <w:t>-</w:t>
            </w:r>
          </w:p>
        </w:tc>
      </w:tr>
      <w:tr w:rsidR="00463087" w14:paraId="5BFE22AA" w14:textId="77777777">
        <w:tblPrEx>
          <w:tblCellMar>
            <w:top w:w="0" w:type="dxa"/>
            <w:bottom w:w="0" w:type="dxa"/>
          </w:tblCellMar>
        </w:tblPrEx>
        <w:trPr>
          <w:cantSplit/>
          <w:trHeight w:val="560"/>
        </w:trPr>
        <w:tc>
          <w:tcPr>
            <w:tcW w:w="700" w:type="dxa"/>
            <w:tcMar>
              <w:top w:w="0" w:type="dxa"/>
              <w:bottom w:w="0" w:type="dxa"/>
            </w:tcMar>
            <w:vAlign w:val="center"/>
          </w:tcPr>
          <w:p w14:paraId="3F078882" w14:textId="77777777" w:rsidR="00463087" w:rsidRDefault="008511FF">
            <w:pPr>
              <w:keepNext/>
              <w:keepLines/>
              <w:spacing w:after="0" w:line="240" w:lineRule="auto"/>
            </w:pPr>
            <w:r>
              <w:rPr>
                <w:sz w:val="18"/>
              </w:rPr>
              <w:t>7</w:t>
            </w:r>
          </w:p>
        </w:tc>
        <w:tc>
          <w:tcPr>
            <w:tcW w:w="3180" w:type="dxa"/>
            <w:tcMar>
              <w:top w:w="0" w:type="dxa"/>
              <w:bottom w:w="0" w:type="dxa"/>
            </w:tcMar>
            <w:vAlign w:val="center"/>
          </w:tcPr>
          <w:p w14:paraId="1F0CB786" w14:textId="77777777" w:rsidR="00463087" w:rsidRDefault="008511FF">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5E9506B" w14:textId="77777777" w:rsidR="00463087" w:rsidRDefault="008511FF">
            <w:pPr>
              <w:keepNext/>
              <w:keepLines/>
              <w:spacing w:after="0" w:line="240" w:lineRule="auto"/>
            </w:pPr>
            <w:r>
              <w:rPr>
                <w:sz w:val="18"/>
              </w:rPr>
              <w:t>7</w:t>
            </w:r>
          </w:p>
        </w:tc>
        <w:tc>
          <w:tcPr>
            <w:tcW w:w="1860" w:type="dxa"/>
            <w:tcMar>
              <w:top w:w="0" w:type="dxa"/>
              <w:bottom w:w="0" w:type="dxa"/>
            </w:tcMar>
            <w:vAlign w:val="center"/>
          </w:tcPr>
          <w:p w14:paraId="22BEF051" w14:textId="77777777" w:rsidR="00463087" w:rsidRDefault="008511FF">
            <w:pPr>
              <w:keepNext/>
              <w:keepLines/>
              <w:spacing w:after="0" w:line="240" w:lineRule="auto"/>
              <w:jc w:val="right"/>
            </w:pPr>
            <w:r>
              <w:rPr>
                <w:sz w:val="18"/>
              </w:rPr>
              <w:t>0,00</w:t>
            </w:r>
          </w:p>
        </w:tc>
        <w:tc>
          <w:tcPr>
            <w:tcW w:w="1860" w:type="dxa"/>
            <w:tcMar>
              <w:top w:w="0" w:type="dxa"/>
              <w:bottom w:w="0" w:type="dxa"/>
            </w:tcMar>
            <w:vAlign w:val="center"/>
          </w:tcPr>
          <w:p w14:paraId="121605EE" w14:textId="77777777" w:rsidR="00463087" w:rsidRDefault="008511FF">
            <w:pPr>
              <w:keepNext/>
              <w:keepLines/>
              <w:spacing w:after="0" w:line="240" w:lineRule="auto"/>
              <w:jc w:val="right"/>
            </w:pPr>
            <w:r>
              <w:rPr>
                <w:sz w:val="18"/>
              </w:rPr>
              <w:t>1.065,00</w:t>
            </w:r>
          </w:p>
        </w:tc>
        <w:tc>
          <w:tcPr>
            <w:tcW w:w="700" w:type="dxa"/>
            <w:tcMar>
              <w:top w:w="0" w:type="dxa"/>
              <w:bottom w:w="0" w:type="dxa"/>
            </w:tcMar>
            <w:vAlign w:val="center"/>
          </w:tcPr>
          <w:p w14:paraId="71EE3F45" w14:textId="77777777" w:rsidR="00463087" w:rsidRDefault="008511FF">
            <w:pPr>
              <w:keepNext/>
              <w:keepLines/>
              <w:spacing w:after="0" w:line="240" w:lineRule="auto"/>
              <w:jc w:val="right"/>
            </w:pPr>
            <w:r>
              <w:rPr>
                <w:sz w:val="18"/>
              </w:rPr>
              <w:t>-</w:t>
            </w:r>
          </w:p>
        </w:tc>
      </w:tr>
      <w:tr w:rsidR="00463087" w14:paraId="2CFC794A" w14:textId="77777777">
        <w:tblPrEx>
          <w:tblCellMar>
            <w:top w:w="0" w:type="dxa"/>
            <w:bottom w:w="0" w:type="dxa"/>
          </w:tblCellMar>
        </w:tblPrEx>
        <w:trPr>
          <w:cantSplit/>
          <w:trHeight w:val="560"/>
        </w:trPr>
        <w:tc>
          <w:tcPr>
            <w:tcW w:w="700" w:type="dxa"/>
            <w:tcMar>
              <w:top w:w="0" w:type="dxa"/>
              <w:bottom w:w="0" w:type="dxa"/>
            </w:tcMar>
            <w:vAlign w:val="center"/>
          </w:tcPr>
          <w:p w14:paraId="3F84C37A" w14:textId="77777777" w:rsidR="00463087" w:rsidRDefault="008511FF">
            <w:pPr>
              <w:keepNext/>
              <w:keepLines/>
              <w:spacing w:after="0" w:line="240" w:lineRule="auto"/>
            </w:pPr>
            <w:r>
              <w:rPr>
                <w:sz w:val="18"/>
              </w:rPr>
              <w:t>4</w:t>
            </w:r>
          </w:p>
        </w:tc>
        <w:tc>
          <w:tcPr>
            <w:tcW w:w="3180" w:type="dxa"/>
            <w:tcMar>
              <w:top w:w="0" w:type="dxa"/>
              <w:bottom w:w="0" w:type="dxa"/>
            </w:tcMar>
            <w:vAlign w:val="center"/>
          </w:tcPr>
          <w:p w14:paraId="634BF27D" w14:textId="77777777" w:rsidR="00463087" w:rsidRDefault="008511FF">
            <w:pPr>
              <w:keepNext/>
              <w:keepLines/>
              <w:spacing w:after="0" w:line="240" w:lineRule="auto"/>
            </w:pPr>
            <w:r>
              <w:rPr>
                <w:sz w:val="18"/>
              </w:rPr>
              <w:t xml:space="preserve">Rashodi za nabavu nefinancijske imovine </w:t>
            </w:r>
            <w:r>
              <w:rPr>
                <w:sz w:val="18"/>
              </w:rPr>
              <w:t>(šifre 41+42+43+44+45)</w:t>
            </w:r>
          </w:p>
        </w:tc>
        <w:tc>
          <w:tcPr>
            <w:tcW w:w="700" w:type="dxa"/>
            <w:tcMar>
              <w:top w:w="0" w:type="dxa"/>
              <w:bottom w:w="0" w:type="dxa"/>
            </w:tcMar>
            <w:vAlign w:val="center"/>
          </w:tcPr>
          <w:p w14:paraId="73A29713" w14:textId="77777777" w:rsidR="00463087" w:rsidRDefault="008511FF">
            <w:pPr>
              <w:keepNext/>
              <w:keepLines/>
              <w:spacing w:after="0" w:line="240" w:lineRule="auto"/>
            </w:pPr>
            <w:r>
              <w:rPr>
                <w:sz w:val="18"/>
              </w:rPr>
              <w:t>4</w:t>
            </w:r>
          </w:p>
        </w:tc>
        <w:tc>
          <w:tcPr>
            <w:tcW w:w="1860" w:type="dxa"/>
            <w:tcMar>
              <w:top w:w="0" w:type="dxa"/>
              <w:bottom w:w="0" w:type="dxa"/>
            </w:tcMar>
            <w:vAlign w:val="center"/>
          </w:tcPr>
          <w:p w14:paraId="3F8AA2CC" w14:textId="77777777" w:rsidR="00463087" w:rsidRDefault="008511FF">
            <w:pPr>
              <w:keepNext/>
              <w:keepLines/>
              <w:spacing w:after="0" w:line="240" w:lineRule="auto"/>
              <w:jc w:val="right"/>
            </w:pPr>
            <w:r>
              <w:rPr>
                <w:sz w:val="18"/>
              </w:rPr>
              <w:t>12.995,69</w:t>
            </w:r>
          </w:p>
        </w:tc>
        <w:tc>
          <w:tcPr>
            <w:tcW w:w="1860" w:type="dxa"/>
            <w:tcMar>
              <w:top w:w="0" w:type="dxa"/>
              <w:bottom w:w="0" w:type="dxa"/>
            </w:tcMar>
            <w:vAlign w:val="center"/>
          </w:tcPr>
          <w:p w14:paraId="44943F5B" w14:textId="77777777" w:rsidR="00463087" w:rsidRDefault="008511FF">
            <w:pPr>
              <w:keepNext/>
              <w:keepLines/>
              <w:spacing w:after="0" w:line="240" w:lineRule="auto"/>
              <w:jc w:val="right"/>
            </w:pPr>
            <w:r>
              <w:rPr>
                <w:sz w:val="18"/>
              </w:rPr>
              <w:t>36.412,27</w:t>
            </w:r>
          </w:p>
        </w:tc>
        <w:tc>
          <w:tcPr>
            <w:tcW w:w="700" w:type="dxa"/>
            <w:tcMar>
              <w:top w:w="0" w:type="dxa"/>
              <w:bottom w:w="0" w:type="dxa"/>
            </w:tcMar>
            <w:vAlign w:val="center"/>
          </w:tcPr>
          <w:p w14:paraId="064F5855" w14:textId="77777777" w:rsidR="00463087" w:rsidRDefault="008511FF">
            <w:pPr>
              <w:keepNext/>
              <w:keepLines/>
              <w:spacing w:after="0" w:line="240" w:lineRule="auto"/>
              <w:jc w:val="right"/>
            </w:pPr>
            <w:r>
              <w:rPr>
                <w:sz w:val="18"/>
              </w:rPr>
              <w:t>280,2</w:t>
            </w:r>
          </w:p>
        </w:tc>
      </w:tr>
      <w:tr w:rsidR="00463087" w14:paraId="7D1CB910" w14:textId="77777777">
        <w:tblPrEx>
          <w:tblCellMar>
            <w:top w:w="0" w:type="dxa"/>
            <w:bottom w:w="0" w:type="dxa"/>
          </w:tblCellMar>
        </w:tblPrEx>
        <w:trPr>
          <w:cantSplit/>
          <w:trHeight w:val="560"/>
        </w:trPr>
        <w:tc>
          <w:tcPr>
            <w:tcW w:w="700" w:type="dxa"/>
            <w:tcMar>
              <w:top w:w="0" w:type="dxa"/>
              <w:bottom w:w="0" w:type="dxa"/>
            </w:tcMar>
            <w:vAlign w:val="center"/>
          </w:tcPr>
          <w:p w14:paraId="6CC5DF80" w14:textId="77777777" w:rsidR="00463087" w:rsidRDefault="00463087">
            <w:pPr>
              <w:keepNext/>
              <w:keepLines/>
              <w:spacing w:after="0" w:line="240" w:lineRule="auto"/>
            </w:pPr>
          </w:p>
        </w:tc>
        <w:tc>
          <w:tcPr>
            <w:tcW w:w="3180" w:type="dxa"/>
            <w:tcMar>
              <w:top w:w="0" w:type="dxa"/>
              <w:bottom w:w="0" w:type="dxa"/>
            </w:tcMar>
            <w:vAlign w:val="center"/>
          </w:tcPr>
          <w:p w14:paraId="7E1C269C" w14:textId="77777777" w:rsidR="00463087" w:rsidRDefault="008511FF">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9022B48" w14:textId="77777777" w:rsidR="00463087" w:rsidRDefault="008511FF">
            <w:pPr>
              <w:keepNext/>
              <w:keepLines/>
              <w:spacing w:after="0" w:line="240" w:lineRule="auto"/>
            </w:pPr>
            <w:r>
              <w:rPr>
                <w:b/>
                <w:sz w:val="18"/>
              </w:rPr>
              <w:t>Y002</w:t>
            </w:r>
          </w:p>
        </w:tc>
        <w:tc>
          <w:tcPr>
            <w:tcW w:w="1860" w:type="dxa"/>
            <w:tcMar>
              <w:top w:w="0" w:type="dxa"/>
              <w:bottom w:w="0" w:type="dxa"/>
            </w:tcMar>
            <w:vAlign w:val="center"/>
          </w:tcPr>
          <w:p w14:paraId="03431F55" w14:textId="77777777" w:rsidR="00463087" w:rsidRDefault="008511FF">
            <w:pPr>
              <w:keepNext/>
              <w:keepLines/>
              <w:spacing w:after="0" w:line="240" w:lineRule="auto"/>
              <w:jc w:val="right"/>
            </w:pPr>
            <w:r>
              <w:rPr>
                <w:b/>
                <w:sz w:val="18"/>
              </w:rPr>
              <w:t>12.995,69</w:t>
            </w:r>
          </w:p>
        </w:tc>
        <w:tc>
          <w:tcPr>
            <w:tcW w:w="1860" w:type="dxa"/>
            <w:tcMar>
              <w:top w:w="0" w:type="dxa"/>
              <w:bottom w:w="0" w:type="dxa"/>
            </w:tcMar>
            <w:vAlign w:val="center"/>
          </w:tcPr>
          <w:p w14:paraId="4115BFDE" w14:textId="77777777" w:rsidR="00463087" w:rsidRDefault="008511FF">
            <w:pPr>
              <w:keepNext/>
              <w:keepLines/>
              <w:spacing w:after="0" w:line="240" w:lineRule="auto"/>
              <w:jc w:val="right"/>
            </w:pPr>
            <w:r>
              <w:rPr>
                <w:b/>
                <w:sz w:val="18"/>
              </w:rPr>
              <w:t>35.347,27</w:t>
            </w:r>
          </w:p>
        </w:tc>
        <w:tc>
          <w:tcPr>
            <w:tcW w:w="700" w:type="dxa"/>
            <w:tcMar>
              <w:top w:w="0" w:type="dxa"/>
              <w:bottom w:w="0" w:type="dxa"/>
            </w:tcMar>
            <w:vAlign w:val="center"/>
          </w:tcPr>
          <w:p w14:paraId="7A6E8622" w14:textId="77777777" w:rsidR="00463087" w:rsidRDefault="008511FF">
            <w:pPr>
              <w:keepNext/>
              <w:keepLines/>
              <w:spacing w:after="0" w:line="240" w:lineRule="auto"/>
              <w:jc w:val="right"/>
            </w:pPr>
            <w:r>
              <w:rPr>
                <w:b/>
                <w:sz w:val="18"/>
              </w:rPr>
              <w:t>272,0</w:t>
            </w:r>
          </w:p>
        </w:tc>
      </w:tr>
      <w:tr w:rsidR="00463087" w14:paraId="0007B609" w14:textId="77777777">
        <w:tblPrEx>
          <w:tblCellMar>
            <w:top w:w="0" w:type="dxa"/>
            <w:bottom w:w="0" w:type="dxa"/>
          </w:tblCellMar>
        </w:tblPrEx>
        <w:trPr>
          <w:cantSplit/>
          <w:trHeight w:val="560"/>
        </w:trPr>
        <w:tc>
          <w:tcPr>
            <w:tcW w:w="700" w:type="dxa"/>
            <w:tcMar>
              <w:top w:w="0" w:type="dxa"/>
              <w:bottom w:w="0" w:type="dxa"/>
            </w:tcMar>
            <w:vAlign w:val="center"/>
          </w:tcPr>
          <w:p w14:paraId="51F49E9C" w14:textId="77777777" w:rsidR="00463087" w:rsidRDefault="008511FF">
            <w:pPr>
              <w:keepNext/>
              <w:keepLines/>
              <w:spacing w:after="0" w:line="240" w:lineRule="auto"/>
            </w:pPr>
            <w:r>
              <w:rPr>
                <w:sz w:val="18"/>
              </w:rPr>
              <w:t>8</w:t>
            </w:r>
          </w:p>
        </w:tc>
        <w:tc>
          <w:tcPr>
            <w:tcW w:w="3180" w:type="dxa"/>
            <w:tcMar>
              <w:top w:w="0" w:type="dxa"/>
              <w:bottom w:w="0" w:type="dxa"/>
            </w:tcMar>
            <w:vAlign w:val="center"/>
          </w:tcPr>
          <w:p w14:paraId="3075B3FE" w14:textId="77777777" w:rsidR="00463087" w:rsidRDefault="008511FF">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E86F1A3" w14:textId="77777777" w:rsidR="00463087" w:rsidRDefault="008511FF">
            <w:pPr>
              <w:keepNext/>
              <w:keepLines/>
              <w:spacing w:after="0" w:line="240" w:lineRule="auto"/>
            </w:pPr>
            <w:r>
              <w:rPr>
                <w:sz w:val="18"/>
              </w:rPr>
              <w:t>8</w:t>
            </w:r>
          </w:p>
        </w:tc>
        <w:tc>
          <w:tcPr>
            <w:tcW w:w="1860" w:type="dxa"/>
            <w:tcMar>
              <w:top w:w="0" w:type="dxa"/>
              <w:bottom w:w="0" w:type="dxa"/>
            </w:tcMar>
            <w:vAlign w:val="center"/>
          </w:tcPr>
          <w:p w14:paraId="09F0D64E" w14:textId="77777777" w:rsidR="00463087" w:rsidRDefault="008511FF">
            <w:pPr>
              <w:keepNext/>
              <w:keepLines/>
              <w:spacing w:after="0" w:line="240" w:lineRule="auto"/>
              <w:jc w:val="right"/>
            </w:pPr>
            <w:r>
              <w:rPr>
                <w:sz w:val="18"/>
              </w:rPr>
              <w:t>0,00</w:t>
            </w:r>
          </w:p>
        </w:tc>
        <w:tc>
          <w:tcPr>
            <w:tcW w:w="1860" w:type="dxa"/>
            <w:tcMar>
              <w:top w:w="0" w:type="dxa"/>
              <w:bottom w:w="0" w:type="dxa"/>
            </w:tcMar>
            <w:vAlign w:val="center"/>
          </w:tcPr>
          <w:p w14:paraId="775A2AE0" w14:textId="77777777" w:rsidR="00463087" w:rsidRDefault="008511FF">
            <w:pPr>
              <w:keepNext/>
              <w:keepLines/>
              <w:spacing w:after="0" w:line="240" w:lineRule="auto"/>
              <w:jc w:val="right"/>
            </w:pPr>
            <w:r>
              <w:rPr>
                <w:sz w:val="18"/>
              </w:rPr>
              <w:t>0,00</w:t>
            </w:r>
          </w:p>
        </w:tc>
        <w:tc>
          <w:tcPr>
            <w:tcW w:w="700" w:type="dxa"/>
            <w:tcMar>
              <w:top w:w="0" w:type="dxa"/>
              <w:bottom w:w="0" w:type="dxa"/>
            </w:tcMar>
            <w:vAlign w:val="center"/>
          </w:tcPr>
          <w:p w14:paraId="592BCA96" w14:textId="77777777" w:rsidR="00463087" w:rsidRDefault="008511FF">
            <w:pPr>
              <w:keepNext/>
              <w:keepLines/>
              <w:spacing w:after="0" w:line="240" w:lineRule="auto"/>
              <w:jc w:val="right"/>
            </w:pPr>
            <w:r>
              <w:rPr>
                <w:sz w:val="18"/>
              </w:rPr>
              <w:t>-</w:t>
            </w:r>
          </w:p>
        </w:tc>
      </w:tr>
      <w:tr w:rsidR="00463087" w14:paraId="0D70C6D9" w14:textId="77777777">
        <w:tblPrEx>
          <w:tblCellMar>
            <w:top w:w="0" w:type="dxa"/>
            <w:bottom w:w="0" w:type="dxa"/>
          </w:tblCellMar>
        </w:tblPrEx>
        <w:trPr>
          <w:cantSplit/>
          <w:trHeight w:val="560"/>
        </w:trPr>
        <w:tc>
          <w:tcPr>
            <w:tcW w:w="700" w:type="dxa"/>
            <w:tcMar>
              <w:top w:w="0" w:type="dxa"/>
              <w:bottom w:w="0" w:type="dxa"/>
            </w:tcMar>
            <w:vAlign w:val="center"/>
          </w:tcPr>
          <w:p w14:paraId="42DF2D11" w14:textId="77777777" w:rsidR="00463087" w:rsidRDefault="008511FF">
            <w:pPr>
              <w:keepNext/>
              <w:keepLines/>
              <w:spacing w:after="0" w:line="240" w:lineRule="auto"/>
            </w:pPr>
            <w:r>
              <w:rPr>
                <w:sz w:val="18"/>
              </w:rPr>
              <w:t>5</w:t>
            </w:r>
          </w:p>
        </w:tc>
        <w:tc>
          <w:tcPr>
            <w:tcW w:w="3180" w:type="dxa"/>
            <w:tcMar>
              <w:top w:w="0" w:type="dxa"/>
              <w:bottom w:w="0" w:type="dxa"/>
            </w:tcMar>
            <w:vAlign w:val="center"/>
          </w:tcPr>
          <w:p w14:paraId="06D0CF0E" w14:textId="77777777" w:rsidR="00463087" w:rsidRDefault="008511FF">
            <w:pPr>
              <w:keepNext/>
              <w:keepLines/>
              <w:spacing w:after="0" w:line="240" w:lineRule="auto"/>
            </w:pPr>
            <w:r>
              <w:rPr>
                <w:sz w:val="18"/>
              </w:rPr>
              <w:t xml:space="preserve">Izdaci za financijsku </w:t>
            </w:r>
            <w:r>
              <w:rPr>
                <w:sz w:val="18"/>
              </w:rPr>
              <w:t>imovinu i otplate zajmova (šifre 51+52+53+54+55)</w:t>
            </w:r>
          </w:p>
        </w:tc>
        <w:tc>
          <w:tcPr>
            <w:tcW w:w="700" w:type="dxa"/>
            <w:tcMar>
              <w:top w:w="0" w:type="dxa"/>
              <w:bottom w:w="0" w:type="dxa"/>
            </w:tcMar>
            <w:vAlign w:val="center"/>
          </w:tcPr>
          <w:p w14:paraId="13A40017" w14:textId="77777777" w:rsidR="00463087" w:rsidRDefault="008511FF">
            <w:pPr>
              <w:keepNext/>
              <w:keepLines/>
              <w:spacing w:after="0" w:line="240" w:lineRule="auto"/>
            </w:pPr>
            <w:r>
              <w:rPr>
                <w:sz w:val="18"/>
              </w:rPr>
              <w:t>5</w:t>
            </w:r>
          </w:p>
        </w:tc>
        <w:tc>
          <w:tcPr>
            <w:tcW w:w="1860" w:type="dxa"/>
            <w:tcMar>
              <w:top w:w="0" w:type="dxa"/>
              <w:bottom w:w="0" w:type="dxa"/>
            </w:tcMar>
            <w:vAlign w:val="center"/>
          </w:tcPr>
          <w:p w14:paraId="15A42815" w14:textId="77777777" w:rsidR="00463087" w:rsidRDefault="008511FF">
            <w:pPr>
              <w:keepNext/>
              <w:keepLines/>
              <w:spacing w:after="0" w:line="240" w:lineRule="auto"/>
              <w:jc w:val="right"/>
            </w:pPr>
            <w:r>
              <w:rPr>
                <w:sz w:val="18"/>
              </w:rPr>
              <w:t>0,00</w:t>
            </w:r>
          </w:p>
        </w:tc>
        <w:tc>
          <w:tcPr>
            <w:tcW w:w="1860" w:type="dxa"/>
            <w:tcMar>
              <w:top w:w="0" w:type="dxa"/>
              <w:bottom w:w="0" w:type="dxa"/>
            </w:tcMar>
            <w:vAlign w:val="center"/>
          </w:tcPr>
          <w:p w14:paraId="55A26A2C" w14:textId="77777777" w:rsidR="00463087" w:rsidRDefault="008511FF">
            <w:pPr>
              <w:keepNext/>
              <w:keepLines/>
              <w:spacing w:after="0" w:line="240" w:lineRule="auto"/>
              <w:jc w:val="right"/>
            </w:pPr>
            <w:r>
              <w:rPr>
                <w:sz w:val="18"/>
              </w:rPr>
              <w:t>0,00</w:t>
            </w:r>
          </w:p>
        </w:tc>
        <w:tc>
          <w:tcPr>
            <w:tcW w:w="700" w:type="dxa"/>
            <w:tcMar>
              <w:top w:w="0" w:type="dxa"/>
              <w:bottom w:w="0" w:type="dxa"/>
            </w:tcMar>
            <w:vAlign w:val="center"/>
          </w:tcPr>
          <w:p w14:paraId="52CFEAD5" w14:textId="77777777" w:rsidR="00463087" w:rsidRDefault="008511FF">
            <w:pPr>
              <w:keepNext/>
              <w:keepLines/>
              <w:spacing w:after="0" w:line="240" w:lineRule="auto"/>
              <w:jc w:val="right"/>
            </w:pPr>
            <w:r>
              <w:rPr>
                <w:sz w:val="18"/>
              </w:rPr>
              <w:t>-</w:t>
            </w:r>
          </w:p>
        </w:tc>
      </w:tr>
      <w:tr w:rsidR="00463087" w14:paraId="3AE9402B" w14:textId="77777777">
        <w:tblPrEx>
          <w:tblCellMar>
            <w:top w:w="0" w:type="dxa"/>
            <w:bottom w:w="0" w:type="dxa"/>
          </w:tblCellMar>
        </w:tblPrEx>
        <w:trPr>
          <w:cantSplit/>
          <w:trHeight w:val="560"/>
        </w:trPr>
        <w:tc>
          <w:tcPr>
            <w:tcW w:w="700" w:type="dxa"/>
            <w:tcMar>
              <w:top w:w="0" w:type="dxa"/>
              <w:bottom w:w="0" w:type="dxa"/>
            </w:tcMar>
            <w:vAlign w:val="center"/>
          </w:tcPr>
          <w:p w14:paraId="3A8921AA" w14:textId="77777777" w:rsidR="00463087" w:rsidRDefault="00463087">
            <w:pPr>
              <w:keepNext/>
              <w:keepLines/>
              <w:spacing w:after="0" w:line="240" w:lineRule="auto"/>
            </w:pPr>
          </w:p>
        </w:tc>
        <w:tc>
          <w:tcPr>
            <w:tcW w:w="3180" w:type="dxa"/>
            <w:tcMar>
              <w:top w:w="0" w:type="dxa"/>
              <w:bottom w:w="0" w:type="dxa"/>
            </w:tcMar>
            <w:vAlign w:val="center"/>
          </w:tcPr>
          <w:p w14:paraId="39DD3E64" w14:textId="77777777" w:rsidR="00463087" w:rsidRDefault="008511FF">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77AF4EAD" w14:textId="77777777" w:rsidR="00463087" w:rsidRDefault="008511FF">
            <w:pPr>
              <w:keepNext/>
              <w:keepLines/>
              <w:spacing w:after="0" w:line="240" w:lineRule="auto"/>
            </w:pPr>
            <w:r>
              <w:rPr>
                <w:b/>
                <w:sz w:val="18"/>
              </w:rPr>
              <w:t>X003, Y003</w:t>
            </w:r>
          </w:p>
        </w:tc>
        <w:tc>
          <w:tcPr>
            <w:tcW w:w="1860" w:type="dxa"/>
            <w:tcMar>
              <w:top w:w="0" w:type="dxa"/>
              <w:bottom w:w="0" w:type="dxa"/>
            </w:tcMar>
            <w:vAlign w:val="center"/>
          </w:tcPr>
          <w:p w14:paraId="1B6A4693" w14:textId="77777777" w:rsidR="00463087" w:rsidRDefault="008511FF">
            <w:pPr>
              <w:keepNext/>
              <w:keepLines/>
              <w:spacing w:after="0" w:line="240" w:lineRule="auto"/>
              <w:jc w:val="right"/>
            </w:pPr>
            <w:r>
              <w:rPr>
                <w:b/>
                <w:sz w:val="18"/>
              </w:rPr>
              <w:t>0,00</w:t>
            </w:r>
          </w:p>
        </w:tc>
        <w:tc>
          <w:tcPr>
            <w:tcW w:w="1860" w:type="dxa"/>
            <w:tcMar>
              <w:top w:w="0" w:type="dxa"/>
              <w:bottom w:w="0" w:type="dxa"/>
            </w:tcMar>
            <w:vAlign w:val="center"/>
          </w:tcPr>
          <w:p w14:paraId="57223577" w14:textId="77777777" w:rsidR="00463087" w:rsidRDefault="008511FF">
            <w:pPr>
              <w:keepNext/>
              <w:keepLines/>
              <w:spacing w:after="0" w:line="240" w:lineRule="auto"/>
              <w:jc w:val="right"/>
            </w:pPr>
            <w:r>
              <w:rPr>
                <w:b/>
                <w:sz w:val="18"/>
              </w:rPr>
              <w:t>0,00</w:t>
            </w:r>
          </w:p>
        </w:tc>
        <w:tc>
          <w:tcPr>
            <w:tcW w:w="700" w:type="dxa"/>
            <w:tcMar>
              <w:top w:w="0" w:type="dxa"/>
              <w:bottom w:w="0" w:type="dxa"/>
            </w:tcMar>
            <w:vAlign w:val="center"/>
          </w:tcPr>
          <w:p w14:paraId="5669FBAF" w14:textId="77777777" w:rsidR="00463087" w:rsidRDefault="008511FF">
            <w:pPr>
              <w:keepNext/>
              <w:keepLines/>
              <w:spacing w:after="0" w:line="240" w:lineRule="auto"/>
              <w:jc w:val="right"/>
            </w:pPr>
            <w:r>
              <w:rPr>
                <w:b/>
                <w:sz w:val="18"/>
              </w:rPr>
              <w:t>-</w:t>
            </w:r>
          </w:p>
        </w:tc>
      </w:tr>
      <w:tr w:rsidR="00463087" w14:paraId="1453B2D1" w14:textId="77777777">
        <w:tblPrEx>
          <w:tblCellMar>
            <w:top w:w="0" w:type="dxa"/>
            <w:bottom w:w="0" w:type="dxa"/>
          </w:tblCellMar>
        </w:tblPrEx>
        <w:trPr>
          <w:cantSplit/>
          <w:trHeight w:val="560"/>
        </w:trPr>
        <w:tc>
          <w:tcPr>
            <w:tcW w:w="700" w:type="dxa"/>
            <w:tcMar>
              <w:top w:w="0" w:type="dxa"/>
              <w:bottom w:w="0" w:type="dxa"/>
            </w:tcMar>
            <w:vAlign w:val="center"/>
          </w:tcPr>
          <w:p w14:paraId="214F7210" w14:textId="77777777" w:rsidR="00463087" w:rsidRDefault="00463087">
            <w:pPr>
              <w:keepNext/>
              <w:keepLines/>
              <w:spacing w:after="0" w:line="240" w:lineRule="auto"/>
            </w:pPr>
          </w:p>
        </w:tc>
        <w:tc>
          <w:tcPr>
            <w:tcW w:w="3180" w:type="dxa"/>
            <w:tcMar>
              <w:top w:w="0" w:type="dxa"/>
              <w:bottom w:w="0" w:type="dxa"/>
            </w:tcMar>
            <w:vAlign w:val="center"/>
          </w:tcPr>
          <w:p w14:paraId="7FD78B60" w14:textId="77777777" w:rsidR="00463087" w:rsidRDefault="008511FF">
            <w:pPr>
              <w:keepNext/>
              <w:keepLines/>
              <w:spacing w:after="0" w:line="240" w:lineRule="auto"/>
            </w:pPr>
            <w:r>
              <w:rPr>
                <w:b/>
                <w:sz w:val="18"/>
              </w:rPr>
              <w:t>MANJAK PRIHODA I PRIMITAKA (šifre Y345-X678)</w:t>
            </w:r>
          </w:p>
        </w:tc>
        <w:tc>
          <w:tcPr>
            <w:tcW w:w="700" w:type="dxa"/>
            <w:tcMar>
              <w:top w:w="0" w:type="dxa"/>
              <w:bottom w:w="0" w:type="dxa"/>
            </w:tcMar>
            <w:vAlign w:val="center"/>
          </w:tcPr>
          <w:p w14:paraId="0B0AF197" w14:textId="77777777" w:rsidR="00463087" w:rsidRDefault="008511FF">
            <w:pPr>
              <w:keepNext/>
              <w:keepLines/>
              <w:spacing w:after="0" w:line="240" w:lineRule="auto"/>
            </w:pPr>
            <w:r>
              <w:rPr>
                <w:b/>
                <w:sz w:val="18"/>
              </w:rPr>
              <w:t>Y005</w:t>
            </w:r>
          </w:p>
        </w:tc>
        <w:tc>
          <w:tcPr>
            <w:tcW w:w="1860" w:type="dxa"/>
            <w:tcMar>
              <w:top w:w="0" w:type="dxa"/>
              <w:bottom w:w="0" w:type="dxa"/>
            </w:tcMar>
            <w:vAlign w:val="center"/>
          </w:tcPr>
          <w:p w14:paraId="3DE2F051" w14:textId="77777777" w:rsidR="00463087" w:rsidRDefault="008511FF">
            <w:pPr>
              <w:keepNext/>
              <w:keepLines/>
              <w:spacing w:after="0" w:line="240" w:lineRule="auto"/>
              <w:jc w:val="right"/>
            </w:pPr>
            <w:r>
              <w:rPr>
                <w:b/>
                <w:sz w:val="18"/>
              </w:rPr>
              <w:t>0,00</w:t>
            </w:r>
          </w:p>
        </w:tc>
        <w:tc>
          <w:tcPr>
            <w:tcW w:w="1860" w:type="dxa"/>
            <w:tcMar>
              <w:top w:w="0" w:type="dxa"/>
              <w:bottom w:w="0" w:type="dxa"/>
            </w:tcMar>
            <w:vAlign w:val="center"/>
          </w:tcPr>
          <w:p w14:paraId="462A31AF" w14:textId="77777777" w:rsidR="00463087" w:rsidRDefault="008511FF">
            <w:pPr>
              <w:keepNext/>
              <w:keepLines/>
              <w:spacing w:after="0" w:line="240" w:lineRule="auto"/>
              <w:jc w:val="right"/>
            </w:pPr>
            <w:r>
              <w:rPr>
                <w:b/>
                <w:sz w:val="18"/>
              </w:rPr>
              <w:t>126.163,94</w:t>
            </w:r>
          </w:p>
        </w:tc>
        <w:tc>
          <w:tcPr>
            <w:tcW w:w="700" w:type="dxa"/>
            <w:tcMar>
              <w:top w:w="0" w:type="dxa"/>
              <w:bottom w:w="0" w:type="dxa"/>
            </w:tcMar>
            <w:vAlign w:val="center"/>
          </w:tcPr>
          <w:p w14:paraId="5BC0F3BE" w14:textId="77777777" w:rsidR="00463087" w:rsidRDefault="008511FF">
            <w:pPr>
              <w:keepNext/>
              <w:keepLines/>
              <w:spacing w:after="0" w:line="240" w:lineRule="auto"/>
              <w:jc w:val="right"/>
            </w:pPr>
            <w:r>
              <w:rPr>
                <w:b/>
                <w:sz w:val="18"/>
              </w:rPr>
              <w:t>-</w:t>
            </w:r>
          </w:p>
        </w:tc>
      </w:tr>
    </w:tbl>
    <w:p w14:paraId="69FFB9E4" w14:textId="77777777" w:rsidR="00463087" w:rsidRDefault="00463087">
      <w:pPr>
        <w:spacing w:after="0"/>
      </w:pPr>
    </w:p>
    <w:p w14:paraId="128B41FD" w14:textId="77777777" w:rsidR="00463087" w:rsidRDefault="008511FF">
      <w:r>
        <w:t>U razdoblju od 01. siječnja do 31.prosionca 2025. prihodi poslovanja ostvareni su u iznosu od 1.444.020,70 eura. Značajnije povećanja prihoda poslovanja ostvareno je od tekućih pomoći proračunskim korisnicima iz proračuna koji im nije nadležan zbog donošen</w:t>
      </w:r>
      <w:r>
        <w:t>ja novog zakona o plaćama i Uredbe o nazivima radnih mjesta, uvjetima za raspored i koeficijentima za obračun plaća u javnim službama (NN 22/2024 od 26.02.2024.), te povećanje osnovice za obračun plaće, koja je povećana za 3% u odnosu na isto razdoblje pre</w:t>
      </w:r>
      <w:r>
        <w:t xml:space="preserve">thodne godine. Prihodi iz nadležnog proračuna za financiranje rashoda za nabavu nefinancijske imovine su znatno </w:t>
      </w:r>
      <w:r>
        <w:lastRenderedPageBreak/>
        <w:t>povećani zbog nabave elektroničke opreme koja je dotrajala i zastarjela. Najznačajnije povećanje prihoda poslovanja Škola je ostvarila od Učenič</w:t>
      </w:r>
      <w:r>
        <w:t xml:space="preserve">kog servisa. Škola obavlja djelatnost srednjoškolskog obrazovanja te kao ovlašteni posrednik temeljem rješenja Ministarstva rada i mirovinskog sustava </w:t>
      </w:r>
      <w:proofErr w:type="spellStart"/>
      <w:r>
        <w:t>Kl:UP</w:t>
      </w:r>
      <w:proofErr w:type="spellEnd"/>
      <w:r>
        <w:t>/I-102-02/14-01/03, Ur.broj:524-03-02-01/3-14-3 od 18. lipnja 2014.godine obavlja poslove posredovan</w:t>
      </w:r>
      <w:r>
        <w:t>ja za povremeni rad redovnih učenika za vrijeme zimskog, proljetnog i ljetnog odmora. Učenici moraju biti polaznici srednjih škola u Bjelovarsko-bilogorskoj županiji. Prihodi se ostvaruju uplatama na temelju izlaznih faktura koje škola ispostavlja poslodav</w:t>
      </w:r>
      <w:r>
        <w:t>cima kod kojih učenik srednje škole radi. Zarada škole je 10% učenikove zarade.  Škola nije u sustavu PDV-a.  Najznačajnije povećanje rashoda poslovanja bilježi se na rashodima za zaposlene,  zbog donošenja novog Zakona o plaćama. Materijalni rashodi poseb</w:t>
      </w:r>
      <w:r>
        <w:t>ice rashodi za zaposlene za službena putovanja i stručna usavršavanja znatno su veći jer osim redovnih putovanja za edukacije zaposlenih zbog uvođenja modularne nastave , ove godine se išlo na maturalno putovanje ( ide se svake druge godine), ali i sudjelo</w:t>
      </w:r>
      <w:r>
        <w:t xml:space="preserve">vanje Škole u Erasmus </w:t>
      </w:r>
      <w:proofErr w:type="spellStart"/>
      <w:r>
        <w:t>projektu.Sitan</w:t>
      </w:r>
      <w:proofErr w:type="spellEnd"/>
      <w:r>
        <w:t xml:space="preserve"> inventar se povećao zbog toga što je Škola u energetskoj obnovi nakon krečenja zidova naručeni su novi okviri za slike, kutije za prvu pomoć, zavjese , torbe za laptope za sve nastavnike, božićno drvce, </w:t>
      </w:r>
      <w:proofErr w:type="spellStart"/>
      <w:r>
        <w:t>ploće</w:t>
      </w:r>
      <w:proofErr w:type="spellEnd"/>
      <w:r>
        <w:t xml:space="preserve"> za nastavu</w:t>
      </w:r>
      <w:r>
        <w:t xml:space="preserve">. Rashodi za usluge znatno su povećani jer u prošloj 2024. nisu potrošena vlastita sredstva , te se je u 2025. izradio novi pod u dvjema učionicama. Ove godine povećan je broj zaposlenih koji su bili obvezni pristupiti obveznom liječničkom pregledu. </w:t>
      </w:r>
      <w:proofErr w:type="spellStart"/>
      <w:r>
        <w:t>Zakupo</w:t>
      </w:r>
      <w:r>
        <w:t>nine</w:t>
      </w:r>
      <w:proofErr w:type="spellEnd"/>
      <w:r>
        <w:t xml:space="preserve"> i </w:t>
      </w:r>
      <w:proofErr w:type="spellStart"/>
      <w:r>
        <w:t>najmnine</w:t>
      </w:r>
      <w:proofErr w:type="spellEnd"/>
      <w:r>
        <w:t xml:space="preserve"> zbog promjene dvorane za održavanje tjelesne nastave došlo je do znatne promjene u </w:t>
      </w:r>
      <w:proofErr w:type="spellStart"/>
      <w:r>
        <w:t>ijeni</w:t>
      </w:r>
      <w:proofErr w:type="spellEnd"/>
      <w:r>
        <w:t xml:space="preserve"> najma. Ostali nespomenuti rashodi znatno su veći , jer tu ulaze troškovi vezani za Erasmus projekt putnog osiguranja. Naknade troškova osobama izvan ra</w:t>
      </w:r>
      <w:r>
        <w:t>dnog odnosa je novi trošak za školu , a odnosi se na trošak smještaja, prijevoza , njihove troškove života pratitelja i učenika za Erasmus+ . Škola je na temelju Odluke Čelnika prodala dotrajalu i zastarjelu nefinancijsku imovinu u iznosu od 1.065,00 eura,</w:t>
      </w:r>
      <w:r>
        <w:t xml:space="preserve"> dok su rashodi za </w:t>
      </w:r>
      <w:proofErr w:type="spellStart"/>
      <w:r>
        <w:t>za</w:t>
      </w:r>
      <w:proofErr w:type="spellEnd"/>
      <w:r>
        <w:t xml:space="preserve"> nabavu nefinancijske imovine ostvareni u iznosu od 36.412,27 eura. Navedeni rashodi odnose se nabavke računalne opreme rad učenika i nastavnika, dosadašnji su dotrajali i nisu bili dovoljni za obavljanje rada, rezač papira , čekić buš</w:t>
      </w:r>
      <w:r>
        <w:t xml:space="preserve">ač, te stalak za motor za automehaničare, te CNC alatne glodalice u iznosu od 22.000,00 eura. U navedenom razdoblju nije bilo ostvarenih primitaka i izdataka od financijske imovine i zaduživanja.  U razdoblju od 01. siječnja do 31. prosinca 2025. ostvaren </w:t>
      </w:r>
      <w:r>
        <w:t>je manjak prihoda poslovanja u iznosu od 90.816,67 eura, manjak prihoda poslovanja od nefinancijske imovine u iznosu 36.412,27 eura, slijedom čega je na kraju izvještajnog razdoblja ostvaren ukupan manjak prihoda i primitaka u iznosu od 126.163,94eura.  </w:t>
      </w:r>
    </w:p>
    <w:p w14:paraId="036F3871" w14:textId="77777777" w:rsidR="00463087" w:rsidRDefault="008511FF">
      <w:r>
        <w:t>P</w:t>
      </w:r>
      <w:r>
        <w:t>rovedena je korekcija financijskog rezultata po Odluci o raspodjeli rezultata za 2024. u 2025. kojom se pokrio manjak od nefinancijske imovine viškom prihoda poslovanja, te je nakon raspodjele rezultat višak prihoda u iznosu 49.551,38 eura, dok je prenesen</w:t>
      </w:r>
      <w:r>
        <w:t>i manjak od nefinancijske imovine 602,88 eura po izvoru 122, koji ćemo pokriti prihodom u 2025. Korekciju financijskog rezultata radili smo 31.12.2025. prema Uputi Ministarstva financija objavljenoj u Okružnici 31.12.2025. , a cilj je bio što realnije iska</w:t>
      </w:r>
      <w:r>
        <w:t xml:space="preserve">zivanje rezultata poslovanja kroz godine, a na način da se korigira utvrđeni rezultat za 2024. koji je prenesen u 2025. na način da korigiraju višak te iskažu obvezu za primljeni predujam od AMPEU. Nakon provedene korekcije višak prihoda poslovanja iznosi </w:t>
      </w:r>
      <w:r>
        <w:t xml:space="preserve">25.528,18, sastoji se od izvor 32=28.330,79, izvor 566=666,14, manjak 122=3468,75.a manjak od </w:t>
      </w:r>
      <w:proofErr w:type="spellStart"/>
      <w:r>
        <w:t>nefin.imovine</w:t>
      </w:r>
      <w:proofErr w:type="spellEnd"/>
      <w:r>
        <w:t xml:space="preserve"> 602,88 eura izvor 122. U obračunskom razdoblju ostvaren je manjak poslovanja u iznosu 126.163,94 eura. Razlog nastanka manjka sastoji se od 13 rasho</w:t>
      </w:r>
      <w:r>
        <w:t xml:space="preserve">da iz Državnog proračuna za plaću, dok je prihoda ostvareno 12 u iznosu 105.465,72. Od Agencije za mobilnost za projekt </w:t>
      </w:r>
      <w:proofErr w:type="spellStart"/>
      <w:r>
        <w:t>erasmus</w:t>
      </w:r>
      <w:proofErr w:type="spellEnd"/>
      <w:r>
        <w:t xml:space="preserve">+ </w:t>
      </w:r>
      <w:r>
        <w:lastRenderedPageBreak/>
        <w:t xml:space="preserve">"Obrtnici bez granica" ostvaren je manjak 4.584,42 eura, koji će se </w:t>
      </w:r>
      <w:proofErr w:type="spellStart"/>
      <w:r>
        <w:t>koregirati</w:t>
      </w:r>
      <w:proofErr w:type="spellEnd"/>
      <w:r>
        <w:t xml:space="preserve"> korekcijom rezultata u 2026. sa izvora vlastitih</w:t>
      </w:r>
      <w:r>
        <w:t xml:space="preserve"> prihoda 3.918,28, 666,14 iz izvora 566 višak ostvaren po prvom projektu, dok je novi projekt "Obrtnici za budućnost" zbog nove metodologije knjiženja, dobivena sredstva priznaju se Obveze za Eu predujmove dane iz državnog proračuna, te nakon završenog izv</w:t>
      </w:r>
      <w:r>
        <w:t xml:space="preserve">ješća priznaje se prihod koji će biti u 2026. Decentralizirana sredstva po izvoru 122 manjak je u iznosu 3.390,40 eura, odnosi se na višak prihoda poslovanja 5.738,71, manjak </w:t>
      </w:r>
      <w:proofErr w:type="spellStart"/>
      <w:r>
        <w:t>nefina.imovine</w:t>
      </w:r>
      <w:proofErr w:type="spellEnd"/>
      <w:r>
        <w:t xml:space="preserve"> 9.129,11. E-tehničar izvor 14 manjak 289,98, a odnosi se na trošak</w:t>
      </w:r>
      <w:r>
        <w:t xml:space="preserve"> knjižen u 12 </w:t>
      </w:r>
      <w:proofErr w:type="spellStart"/>
      <w:r>
        <w:t>mjesecu,a</w:t>
      </w:r>
      <w:proofErr w:type="spellEnd"/>
      <w:r>
        <w:t xml:space="preserve"> prihod će biti u 2026. Za pomoćnicu u nastavi ostvaren je manjak po izvorima 51=142,53, 56=807,66 11=175,20 , trošak plaćen je knjižen za 12 mjesec u 12 mjesecu, a prihod ćemo </w:t>
      </w:r>
      <w:proofErr w:type="spellStart"/>
      <w:r>
        <w:t>ostavariti</w:t>
      </w:r>
      <w:proofErr w:type="spellEnd"/>
      <w:r>
        <w:t xml:space="preserve"> u 2026. kada će joj biti isplaćena plaća za 1</w:t>
      </w:r>
      <w:r>
        <w:t>2 mjesec. Vlastiti prihodi ostvareni su od kamata banke, članarina i zarada Učeničkog servisa, te najma prostora za aparate za tople napitke iskazan je 2.800,98 eura. </w:t>
      </w:r>
    </w:p>
    <w:p w14:paraId="5CD4FCFF" w14:textId="77777777" w:rsidR="00463087" w:rsidRDefault="008511FF">
      <w:r>
        <w:br/>
      </w:r>
    </w:p>
    <w:p w14:paraId="71FABA72" w14:textId="77777777" w:rsidR="00463087" w:rsidRDefault="008511FF">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63087" w14:paraId="2A1360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CF9243" w14:textId="77777777" w:rsidR="00463087" w:rsidRDefault="008511F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2AEF14" w14:textId="77777777" w:rsidR="00463087" w:rsidRDefault="008511F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22AAD5" w14:textId="77777777" w:rsidR="00463087" w:rsidRDefault="008511F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007BAD" w14:textId="77777777" w:rsidR="00463087" w:rsidRDefault="008511FF">
            <w:pPr>
              <w:keepNext/>
              <w:keepLines/>
              <w:spacing w:after="0" w:line="240" w:lineRule="auto"/>
              <w:jc w:val="center"/>
            </w:pPr>
            <w:r>
              <w:rPr>
                <w:b/>
                <w:sz w:val="18"/>
              </w:rPr>
              <w:t>Ostvareno u izvještajnom razdoblju p</w:t>
            </w:r>
            <w:r>
              <w:rPr>
                <w:b/>
                <w:sz w:val="18"/>
              </w:rPr>
              <w:t>rethodne godine</w:t>
            </w:r>
          </w:p>
        </w:tc>
        <w:tc>
          <w:tcPr>
            <w:tcW w:w="1860" w:type="dxa"/>
            <w:shd w:val="clear" w:color="auto" w:fill="E7F0F9"/>
            <w:tcMar>
              <w:top w:w="0" w:type="dxa"/>
              <w:bottom w:w="0" w:type="dxa"/>
            </w:tcMar>
            <w:vAlign w:val="center"/>
          </w:tcPr>
          <w:p w14:paraId="689594EE" w14:textId="77777777" w:rsidR="00463087" w:rsidRDefault="008511F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7F5CAE" w14:textId="77777777" w:rsidR="00463087" w:rsidRDefault="008511FF">
            <w:pPr>
              <w:keepNext/>
              <w:keepLines/>
              <w:spacing w:after="0" w:line="240" w:lineRule="auto"/>
              <w:jc w:val="center"/>
            </w:pPr>
            <w:r>
              <w:rPr>
                <w:b/>
                <w:sz w:val="18"/>
              </w:rPr>
              <w:t>Indeks (%)</w:t>
            </w:r>
          </w:p>
        </w:tc>
      </w:tr>
      <w:tr w:rsidR="00463087" w14:paraId="6BDDAE0F" w14:textId="77777777">
        <w:tblPrEx>
          <w:tblCellMar>
            <w:top w:w="0" w:type="dxa"/>
            <w:bottom w:w="0" w:type="dxa"/>
          </w:tblCellMar>
        </w:tblPrEx>
        <w:trPr>
          <w:cantSplit/>
          <w:trHeight w:val="560"/>
        </w:trPr>
        <w:tc>
          <w:tcPr>
            <w:tcW w:w="700" w:type="dxa"/>
            <w:tcMar>
              <w:top w:w="0" w:type="dxa"/>
              <w:bottom w:w="0" w:type="dxa"/>
            </w:tcMar>
            <w:vAlign w:val="center"/>
          </w:tcPr>
          <w:p w14:paraId="4468AC97" w14:textId="77777777" w:rsidR="00463087" w:rsidRDefault="008511FF">
            <w:pPr>
              <w:keepNext/>
              <w:keepLines/>
              <w:spacing w:after="0" w:line="240" w:lineRule="auto"/>
            </w:pPr>
            <w:r>
              <w:rPr>
                <w:sz w:val="18"/>
              </w:rPr>
              <w:t>6361</w:t>
            </w:r>
          </w:p>
        </w:tc>
        <w:tc>
          <w:tcPr>
            <w:tcW w:w="3180" w:type="dxa"/>
            <w:tcMar>
              <w:top w:w="0" w:type="dxa"/>
              <w:bottom w:w="0" w:type="dxa"/>
            </w:tcMar>
            <w:vAlign w:val="center"/>
          </w:tcPr>
          <w:p w14:paraId="7EB20441" w14:textId="77777777" w:rsidR="00463087" w:rsidRDefault="008511FF">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0E5A24EE" w14:textId="77777777" w:rsidR="00463087" w:rsidRDefault="008511FF">
            <w:pPr>
              <w:keepNext/>
              <w:keepLines/>
              <w:spacing w:after="0" w:line="240" w:lineRule="auto"/>
            </w:pPr>
            <w:r>
              <w:rPr>
                <w:sz w:val="18"/>
              </w:rPr>
              <w:t>6361</w:t>
            </w:r>
          </w:p>
        </w:tc>
        <w:tc>
          <w:tcPr>
            <w:tcW w:w="1860" w:type="dxa"/>
            <w:tcMar>
              <w:top w:w="0" w:type="dxa"/>
              <w:bottom w:w="0" w:type="dxa"/>
            </w:tcMar>
            <w:vAlign w:val="center"/>
          </w:tcPr>
          <w:p w14:paraId="334786EB" w14:textId="77777777" w:rsidR="00463087" w:rsidRDefault="008511FF">
            <w:pPr>
              <w:keepNext/>
              <w:keepLines/>
              <w:spacing w:after="0" w:line="240" w:lineRule="auto"/>
              <w:jc w:val="right"/>
            </w:pPr>
            <w:r>
              <w:rPr>
                <w:sz w:val="18"/>
              </w:rPr>
              <w:t>1.106.999,36</w:t>
            </w:r>
          </w:p>
        </w:tc>
        <w:tc>
          <w:tcPr>
            <w:tcW w:w="1860" w:type="dxa"/>
            <w:tcMar>
              <w:top w:w="0" w:type="dxa"/>
              <w:bottom w:w="0" w:type="dxa"/>
            </w:tcMar>
            <w:vAlign w:val="center"/>
          </w:tcPr>
          <w:p w14:paraId="5A0FB1A6" w14:textId="77777777" w:rsidR="00463087" w:rsidRDefault="008511FF">
            <w:pPr>
              <w:keepNext/>
              <w:keepLines/>
              <w:spacing w:after="0" w:line="240" w:lineRule="auto"/>
              <w:jc w:val="right"/>
            </w:pPr>
            <w:r>
              <w:rPr>
                <w:sz w:val="18"/>
              </w:rPr>
              <w:t>1.214.771,08</w:t>
            </w:r>
          </w:p>
        </w:tc>
        <w:tc>
          <w:tcPr>
            <w:tcW w:w="700" w:type="dxa"/>
            <w:tcMar>
              <w:top w:w="0" w:type="dxa"/>
              <w:bottom w:w="0" w:type="dxa"/>
            </w:tcMar>
            <w:vAlign w:val="center"/>
          </w:tcPr>
          <w:p w14:paraId="271F03B3" w14:textId="77777777" w:rsidR="00463087" w:rsidRDefault="008511FF">
            <w:pPr>
              <w:keepNext/>
              <w:keepLines/>
              <w:spacing w:after="0" w:line="240" w:lineRule="auto"/>
              <w:jc w:val="right"/>
            </w:pPr>
            <w:r>
              <w:rPr>
                <w:sz w:val="18"/>
              </w:rPr>
              <w:t>109,7</w:t>
            </w:r>
          </w:p>
        </w:tc>
      </w:tr>
    </w:tbl>
    <w:p w14:paraId="326B72F5" w14:textId="77777777" w:rsidR="00463087" w:rsidRDefault="00463087">
      <w:pPr>
        <w:spacing w:after="0"/>
      </w:pPr>
    </w:p>
    <w:p w14:paraId="5F25DE12" w14:textId="77777777" w:rsidR="00463087" w:rsidRDefault="008511FF">
      <w:r>
        <w:t>Ostvareno je povećanje prihoda u odnosu na isto razdoblje 2024. godine zbog donošenje novog zakona o plaćama i Uredbe o nazivima radnih mjesta, uvjetima za raspored i koeficijentima za obračun plaća u javnim službama (NN 22/2024 od 26.02.2024.), te povećan</w:t>
      </w:r>
      <w:r>
        <w:t>je osnovice za obračun plaće, koja je povećana za 3% u odnosu na isto razdoblje prethodne godine.  Isto tako od 01.01.2025. godine obveze za plaću knjiženje se na zadnji dan 30. ili 31. u mjesecu , a dospijeće je u idućem mjesecu, odnosno 13 rashoda će bit</w:t>
      </w:r>
      <w:r>
        <w:t>i u 2025. godini, dok u prethodnoj se prihod i trošak priznavao sa datumom isplate.</w:t>
      </w:r>
    </w:p>
    <w:p w14:paraId="4AC533CD" w14:textId="77777777" w:rsidR="00463087" w:rsidRDefault="00463087"/>
    <w:p w14:paraId="0A612275" w14:textId="77777777" w:rsidR="00463087" w:rsidRDefault="008511FF">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63087" w14:paraId="682F59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7393F5" w14:textId="77777777" w:rsidR="00463087" w:rsidRDefault="008511F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FFF359" w14:textId="77777777" w:rsidR="00463087" w:rsidRDefault="008511F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2772E7" w14:textId="77777777" w:rsidR="00463087" w:rsidRDefault="008511F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6FCC08" w14:textId="77777777" w:rsidR="00463087" w:rsidRDefault="008511F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F306A7" w14:textId="77777777" w:rsidR="00463087" w:rsidRDefault="008511F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5313E7" w14:textId="77777777" w:rsidR="00463087" w:rsidRDefault="008511FF">
            <w:pPr>
              <w:keepNext/>
              <w:keepLines/>
              <w:spacing w:after="0" w:line="240" w:lineRule="auto"/>
              <w:jc w:val="center"/>
            </w:pPr>
            <w:r>
              <w:rPr>
                <w:b/>
                <w:sz w:val="18"/>
              </w:rPr>
              <w:t>Indeks (%)</w:t>
            </w:r>
          </w:p>
        </w:tc>
      </w:tr>
      <w:tr w:rsidR="00463087" w14:paraId="3BD735A0" w14:textId="77777777">
        <w:tblPrEx>
          <w:tblCellMar>
            <w:top w:w="0" w:type="dxa"/>
            <w:bottom w:w="0" w:type="dxa"/>
          </w:tblCellMar>
        </w:tblPrEx>
        <w:trPr>
          <w:cantSplit/>
          <w:trHeight w:val="560"/>
        </w:trPr>
        <w:tc>
          <w:tcPr>
            <w:tcW w:w="700" w:type="dxa"/>
            <w:tcMar>
              <w:top w:w="0" w:type="dxa"/>
              <w:bottom w:w="0" w:type="dxa"/>
            </w:tcMar>
            <w:vAlign w:val="center"/>
          </w:tcPr>
          <w:p w14:paraId="7B8CB312" w14:textId="77777777" w:rsidR="00463087" w:rsidRDefault="008511FF">
            <w:pPr>
              <w:keepNext/>
              <w:keepLines/>
              <w:spacing w:after="0" w:line="240" w:lineRule="auto"/>
            </w:pPr>
            <w:r>
              <w:rPr>
                <w:sz w:val="18"/>
              </w:rPr>
              <w:t>6381</w:t>
            </w:r>
          </w:p>
        </w:tc>
        <w:tc>
          <w:tcPr>
            <w:tcW w:w="3180" w:type="dxa"/>
            <w:tcMar>
              <w:top w:w="0" w:type="dxa"/>
              <w:bottom w:w="0" w:type="dxa"/>
            </w:tcMar>
            <w:vAlign w:val="center"/>
          </w:tcPr>
          <w:p w14:paraId="5FBEA2BD" w14:textId="77777777" w:rsidR="00463087" w:rsidRDefault="008511FF">
            <w:pPr>
              <w:keepNext/>
              <w:keepLines/>
              <w:spacing w:after="0" w:line="240" w:lineRule="auto"/>
            </w:pPr>
            <w:r>
              <w:rPr>
                <w:sz w:val="18"/>
              </w:rPr>
              <w:t>Tekuće pomoći temeljem prijenosa EU sredstava</w:t>
            </w:r>
          </w:p>
        </w:tc>
        <w:tc>
          <w:tcPr>
            <w:tcW w:w="700" w:type="dxa"/>
            <w:tcMar>
              <w:top w:w="0" w:type="dxa"/>
              <w:bottom w:w="0" w:type="dxa"/>
            </w:tcMar>
            <w:vAlign w:val="center"/>
          </w:tcPr>
          <w:p w14:paraId="2F760766" w14:textId="77777777" w:rsidR="00463087" w:rsidRDefault="008511FF">
            <w:pPr>
              <w:keepNext/>
              <w:keepLines/>
              <w:spacing w:after="0" w:line="240" w:lineRule="auto"/>
            </w:pPr>
            <w:r>
              <w:rPr>
                <w:sz w:val="18"/>
              </w:rPr>
              <w:t>6381</w:t>
            </w:r>
          </w:p>
        </w:tc>
        <w:tc>
          <w:tcPr>
            <w:tcW w:w="1860" w:type="dxa"/>
            <w:tcMar>
              <w:top w:w="0" w:type="dxa"/>
              <w:bottom w:w="0" w:type="dxa"/>
            </w:tcMar>
            <w:vAlign w:val="center"/>
          </w:tcPr>
          <w:p w14:paraId="5E06AC9E" w14:textId="77777777" w:rsidR="00463087" w:rsidRDefault="008511FF">
            <w:pPr>
              <w:keepNext/>
              <w:keepLines/>
              <w:spacing w:after="0" w:line="240" w:lineRule="auto"/>
              <w:jc w:val="right"/>
            </w:pPr>
            <w:r>
              <w:rPr>
                <w:sz w:val="18"/>
              </w:rPr>
              <w:t>24.585,18</w:t>
            </w:r>
          </w:p>
        </w:tc>
        <w:tc>
          <w:tcPr>
            <w:tcW w:w="1860" w:type="dxa"/>
            <w:tcMar>
              <w:top w:w="0" w:type="dxa"/>
              <w:bottom w:w="0" w:type="dxa"/>
            </w:tcMar>
            <w:vAlign w:val="center"/>
          </w:tcPr>
          <w:p w14:paraId="41191E10" w14:textId="77777777" w:rsidR="00463087" w:rsidRDefault="008511FF">
            <w:pPr>
              <w:keepNext/>
              <w:keepLines/>
              <w:spacing w:after="0" w:line="240" w:lineRule="auto"/>
              <w:jc w:val="right"/>
            </w:pPr>
            <w:r>
              <w:rPr>
                <w:sz w:val="18"/>
              </w:rPr>
              <w:t>30.029,00</w:t>
            </w:r>
          </w:p>
        </w:tc>
        <w:tc>
          <w:tcPr>
            <w:tcW w:w="700" w:type="dxa"/>
            <w:tcMar>
              <w:top w:w="0" w:type="dxa"/>
              <w:bottom w:w="0" w:type="dxa"/>
            </w:tcMar>
            <w:vAlign w:val="center"/>
          </w:tcPr>
          <w:p w14:paraId="7BA31E88" w14:textId="77777777" w:rsidR="00463087" w:rsidRDefault="008511FF">
            <w:pPr>
              <w:keepNext/>
              <w:keepLines/>
              <w:spacing w:after="0" w:line="240" w:lineRule="auto"/>
              <w:jc w:val="right"/>
            </w:pPr>
            <w:r>
              <w:rPr>
                <w:sz w:val="18"/>
              </w:rPr>
              <w:t>122,1</w:t>
            </w:r>
          </w:p>
        </w:tc>
      </w:tr>
    </w:tbl>
    <w:p w14:paraId="4A311C75" w14:textId="77777777" w:rsidR="00463087" w:rsidRDefault="00463087">
      <w:pPr>
        <w:spacing w:after="0"/>
      </w:pPr>
    </w:p>
    <w:p w14:paraId="591D8C78" w14:textId="77777777" w:rsidR="00463087" w:rsidRDefault="008511FF">
      <w:r>
        <w:t>Korekciju financijskog rezultata radili smo 31.12.2025. prema Uputi Ministarstva financija objavljenoj u Okružnici 31.12.2025. , a cilj je bio što realnije iskazivanje rezultata poslovanja kroz godine, a na način da se korigira utvrđeni rezultat za 2024. k</w:t>
      </w:r>
      <w:r>
        <w:t>oji je prenesen u 2025. na način da korigiraju višak te iskažu obvezu za primljeni predujam od AMPEU. </w:t>
      </w:r>
    </w:p>
    <w:p w14:paraId="5DA2BADF" w14:textId="77777777" w:rsidR="00463087" w:rsidRDefault="00463087"/>
    <w:p w14:paraId="46E7F0B3" w14:textId="77777777" w:rsidR="00463087" w:rsidRDefault="008511FF">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63087" w14:paraId="3564FD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09EE40" w14:textId="77777777" w:rsidR="00463087" w:rsidRDefault="008511F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05E451" w14:textId="77777777" w:rsidR="00463087" w:rsidRDefault="008511F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14D3D1" w14:textId="77777777" w:rsidR="00463087" w:rsidRDefault="008511F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0EAAFA" w14:textId="77777777" w:rsidR="00463087" w:rsidRDefault="008511F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C21F8C" w14:textId="77777777" w:rsidR="00463087" w:rsidRDefault="008511F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4118E6" w14:textId="77777777" w:rsidR="00463087" w:rsidRDefault="008511FF">
            <w:pPr>
              <w:keepNext/>
              <w:keepLines/>
              <w:spacing w:after="0" w:line="240" w:lineRule="auto"/>
              <w:jc w:val="center"/>
            </w:pPr>
            <w:r>
              <w:rPr>
                <w:b/>
                <w:sz w:val="18"/>
              </w:rPr>
              <w:t>I</w:t>
            </w:r>
            <w:r>
              <w:rPr>
                <w:b/>
                <w:sz w:val="18"/>
              </w:rPr>
              <w:t>ndeks (%)</w:t>
            </w:r>
          </w:p>
        </w:tc>
      </w:tr>
      <w:tr w:rsidR="00463087" w14:paraId="400310C4" w14:textId="77777777">
        <w:tblPrEx>
          <w:tblCellMar>
            <w:top w:w="0" w:type="dxa"/>
            <w:bottom w:w="0" w:type="dxa"/>
          </w:tblCellMar>
        </w:tblPrEx>
        <w:trPr>
          <w:cantSplit/>
          <w:trHeight w:val="560"/>
        </w:trPr>
        <w:tc>
          <w:tcPr>
            <w:tcW w:w="700" w:type="dxa"/>
            <w:tcMar>
              <w:top w:w="0" w:type="dxa"/>
              <w:bottom w:w="0" w:type="dxa"/>
            </w:tcMar>
            <w:vAlign w:val="center"/>
          </w:tcPr>
          <w:p w14:paraId="7E62EDAA" w14:textId="77777777" w:rsidR="00463087" w:rsidRDefault="008511FF">
            <w:pPr>
              <w:keepNext/>
              <w:keepLines/>
              <w:spacing w:after="0" w:line="240" w:lineRule="auto"/>
            </w:pPr>
            <w:r>
              <w:rPr>
                <w:sz w:val="18"/>
              </w:rPr>
              <w:t>641</w:t>
            </w:r>
          </w:p>
        </w:tc>
        <w:tc>
          <w:tcPr>
            <w:tcW w:w="3180" w:type="dxa"/>
            <w:tcMar>
              <w:top w:w="0" w:type="dxa"/>
              <w:bottom w:w="0" w:type="dxa"/>
            </w:tcMar>
            <w:vAlign w:val="center"/>
          </w:tcPr>
          <w:p w14:paraId="34448D57" w14:textId="77777777" w:rsidR="00463087" w:rsidRDefault="008511FF">
            <w:pPr>
              <w:keepNext/>
              <w:keepLines/>
              <w:spacing w:after="0" w:line="240" w:lineRule="auto"/>
            </w:pPr>
            <w:r>
              <w:rPr>
                <w:sz w:val="18"/>
              </w:rPr>
              <w:t>Prihodi od financijske imovine (šifre 6412 do 6419)</w:t>
            </w:r>
          </w:p>
        </w:tc>
        <w:tc>
          <w:tcPr>
            <w:tcW w:w="700" w:type="dxa"/>
            <w:tcMar>
              <w:top w:w="0" w:type="dxa"/>
              <w:bottom w:w="0" w:type="dxa"/>
            </w:tcMar>
            <w:vAlign w:val="center"/>
          </w:tcPr>
          <w:p w14:paraId="44EF22BD" w14:textId="77777777" w:rsidR="00463087" w:rsidRDefault="008511FF">
            <w:pPr>
              <w:keepNext/>
              <w:keepLines/>
              <w:spacing w:after="0" w:line="240" w:lineRule="auto"/>
            </w:pPr>
            <w:r>
              <w:rPr>
                <w:sz w:val="18"/>
              </w:rPr>
              <w:t>641</w:t>
            </w:r>
          </w:p>
        </w:tc>
        <w:tc>
          <w:tcPr>
            <w:tcW w:w="1860" w:type="dxa"/>
            <w:tcMar>
              <w:top w:w="0" w:type="dxa"/>
              <w:bottom w:w="0" w:type="dxa"/>
            </w:tcMar>
            <w:vAlign w:val="center"/>
          </w:tcPr>
          <w:p w14:paraId="25148839" w14:textId="77777777" w:rsidR="00463087" w:rsidRDefault="008511FF">
            <w:pPr>
              <w:keepNext/>
              <w:keepLines/>
              <w:spacing w:after="0" w:line="240" w:lineRule="auto"/>
              <w:jc w:val="right"/>
            </w:pPr>
            <w:r>
              <w:rPr>
                <w:sz w:val="18"/>
              </w:rPr>
              <w:t>9,81</w:t>
            </w:r>
          </w:p>
        </w:tc>
        <w:tc>
          <w:tcPr>
            <w:tcW w:w="1860" w:type="dxa"/>
            <w:tcMar>
              <w:top w:w="0" w:type="dxa"/>
              <w:bottom w:w="0" w:type="dxa"/>
            </w:tcMar>
            <w:vAlign w:val="center"/>
          </w:tcPr>
          <w:p w14:paraId="1FBACB33" w14:textId="77777777" w:rsidR="00463087" w:rsidRDefault="008511FF">
            <w:pPr>
              <w:keepNext/>
              <w:keepLines/>
              <w:spacing w:after="0" w:line="240" w:lineRule="auto"/>
              <w:jc w:val="right"/>
            </w:pPr>
            <w:r>
              <w:rPr>
                <w:sz w:val="18"/>
              </w:rPr>
              <w:t>12,17</w:t>
            </w:r>
          </w:p>
        </w:tc>
        <w:tc>
          <w:tcPr>
            <w:tcW w:w="700" w:type="dxa"/>
            <w:tcMar>
              <w:top w:w="0" w:type="dxa"/>
              <w:bottom w:w="0" w:type="dxa"/>
            </w:tcMar>
            <w:vAlign w:val="center"/>
          </w:tcPr>
          <w:p w14:paraId="5C122ADC" w14:textId="77777777" w:rsidR="00463087" w:rsidRDefault="008511FF">
            <w:pPr>
              <w:keepNext/>
              <w:keepLines/>
              <w:spacing w:after="0" w:line="240" w:lineRule="auto"/>
              <w:jc w:val="right"/>
            </w:pPr>
            <w:r>
              <w:rPr>
                <w:sz w:val="18"/>
              </w:rPr>
              <w:t>124,1</w:t>
            </w:r>
          </w:p>
        </w:tc>
      </w:tr>
    </w:tbl>
    <w:p w14:paraId="50A6F6AF" w14:textId="77777777" w:rsidR="00463087" w:rsidRDefault="00463087">
      <w:pPr>
        <w:spacing w:after="0"/>
      </w:pPr>
    </w:p>
    <w:p w14:paraId="30527C5B" w14:textId="77777777" w:rsidR="00463087" w:rsidRDefault="008511FF">
      <w:r>
        <w:t>Škola je ostvarila znatno povećanje prihoda od kamate za novčana sredstva koja ima na žiro računu kod Privredne banke Zagreb, jer sredstva zarade od Učeničkog servisa, te uplata za novi projekt Erasmus+ biti će realizirani tijekom 2025. godine, te ta sreds</w:t>
      </w:r>
      <w:r>
        <w:t>tva su djelomično  potrošena. Uvođenjem potpune Riznice od 28.04.2025. godine više nemamo svoj račun.</w:t>
      </w:r>
    </w:p>
    <w:p w14:paraId="67796E4C" w14:textId="77777777" w:rsidR="00463087" w:rsidRDefault="00463087"/>
    <w:p w14:paraId="38893F23" w14:textId="77777777" w:rsidR="00463087" w:rsidRDefault="008511FF">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63087" w14:paraId="24688C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480047" w14:textId="77777777" w:rsidR="00463087" w:rsidRDefault="008511F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3F601C" w14:textId="77777777" w:rsidR="00463087" w:rsidRDefault="008511F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56F47A" w14:textId="77777777" w:rsidR="00463087" w:rsidRDefault="008511F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EDD225" w14:textId="77777777" w:rsidR="00463087" w:rsidRDefault="008511F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A3CFF3" w14:textId="77777777" w:rsidR="00463087" w:rsidRDefault="008511F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6D7685" w14:textId="77777777" w:rsidR="00463087" w:rsidRDefault="008511FF">
            <w:pPr>
              <w:keepNext/>
              <w:keepLines/>
              <w:spacing w:after="0" w:line="240" w:lineRule="auto"/>
              <w:jc w:val="center"/>
            </w:pPr>
            <w:r>
              <w:rPr>
                <w:b/>
                <w:sz w:val="18"/>
              </w:rPr>
              <w:t>In</w:t>
            </w:r>
            <w:r>
              <w:rPr>
                <w:b/>
                <w:sz w:val="18"/>
              </w:rPr>
              <w:t>deks (%)</w:t>
            </w:r>
          </w:p>
        </w:tc>
      </w:tr>
      <w:tr w:rsidR="00463087" w14:paraId="21EACFE9" w14:textId="77777777">
        <w:tblPrEx>
          <w:tblCellMar>
            <w:top w:w="0" w:type="dxa"/>
            <w:bottom w:w="0" w:type="dxa"/>
          </w:tblCellMar>
        </w:tblPrEx>
        <w:trPr>
          <w:cantSplit/>
          <w:trHeight w:val="560"/>
        </w:trPr>
        <w:tc>
          <w:tcPr>
            <w:tcW w:w="700" w:type="dxa"/>
            <w:tcMar>
              <w:top w:w="0" w:type="dxa"/>
              <w:bottom w:w="0" w:type="dxa"/>
            </w:tcMar>
            <w:vAlign w:val="center"/>
          </w:tcPr>
          <w:p w14:paraId="59E6EA4D" w14:textId="77777777" w:rsidR="00463087" w:rsidRDefault="008511FF">
            <w:pPr>
              <w:keepNext/>
              <w:keepLines/>
              <w:spacing w:after="0" w:line="240" w:lineRule="auto"/>
            </w:pPr>
            <w:r>
              <w:rPr>
                <w:sz w:val="18"/>
              </w:rPr>
              <w:t>6526</w:t>
            </w:r>
          </w:p>
        </w:tc>
        <w:tc>
          <w:tcPr>
            <w:tcW w:w="3180" w:type="dxa"/>
            <w:tcMar>
              <w:top w:w="0" w:type="dxa"/>
              <w:bottom w:w="0" w:type="dxa"/>
            </w:tcMar>
            <w:vAlign w:val="center"/>
          </w:tcPr>
          <w:p w14:paraId="0AB77D91" w14:textId="77777777" w:rsidR="00463087" w:rsidRDefault="008511FF">
            <w:pPr>
              <w:keepNext/>
              <w:keepLines/>
              <w:spacing w:after="0" w:line="240" w:lineRule="auto"/>
            </w:pPr>
            <w:r>
              <w:rPr>
                <w:sz w:val="18"/>
              </w:rPr>
              <w:t>Ostali nespomenuti prihodi</w:t>
            </w:r>
          </w:p>
        </w:tc>
        <w:tc>
          <w:tcPr>
            <w:tcW w:w="700" w:type="dxa"/>
            <w:tcMar>
              <w:top w:w="0" w:type="dxa"/>
              <w:bottom w:w="0" w:type="dxa"/>
            </w:tcMar>
            <w:vAlign w:val="center"/>
          </w:tcPr>
          <w:p w14:paraId="3C58E53D" w14:textId="77777777" w:rsidR="00463087" w:rsidRDefault="008511FF">
            <w:pPr>
              <w:keepNext/>
              <w:keepLines/>
              <w:spacing w:after="0" w:line="240" w:lineRule="auto"/>
            </w:pPr>
            <w:r>
              <w:rPr>
                <w:sz w:val="18"/>
              </w:rPr>
              <w:t>6526</w:t>
            </w:r>
          </w:p>
        </w:tc>
        <w:tc>
          <w:tcPr>
            <w:tcW w:w="1860" w:type="dxa"/>
            <w:tcMar>
              <w:top w:w="0" w:type="dxa"/>
              <w:bottom w:w="0" w:type="dxa"/>
            </w:tcMar>
            <w:vAlign w:val="center"/>
          </w:tcPr>
          <w:p w14:paraId="395F2C87" w14:textId="77777777" w:rsidR="00463087" w:rsidRDefault="008511FF">
            <w:pPr>
              <w:keepNext/>
              <w:keepLines/>
              <w:spacing w:after="0" w:line="240" w:lineRule="auto"/>
              <w:jc w:val="right"/>
            </w:pPr>
            <w:r>
              <w:rPr>
                <w:sz w:val="18"/>
              </w:rPr>
              <w:t>3.496,90</w:t>
            </w:r>
          </w:p>
        </w:tc>
        <w:tc>
          <w:tcPr>
            <w:tcW w:w="1860" w:type="dxa"/>
            <w:tcMar>
              <w:top w:w="0" w:type="dxa"/>
              <w:bottom w:w="0" w:type="dxa"/>
            </w:tcMar>
            <w:vAlign w:val="center"/>
          </w:tcPr>
          <w:p w14:paraId="133C08F1" w14:textId="77777777" w:rsidR="00463087" w:rsidRDefault="008511FF">
            <w:pPr>
              <w:keepNext/>
              <w:keepLines/>
              <w:spacing w:after="0" w:line="240" w:lineRule="auto"/>
              <w:jc w:val="right"/>
            </w:pPr>
            <w:r>
              <w:rPr>
                <w:sz w:val="18"/>
              </w:rPr>
              <w:t>664,60</w:t>
            </w:r>
          </w:p>
        </w:tc>
        <w:tc>
          <w:tcPr>
            <w:tcW w:w="700" w:type="dxa"/>
            <w:tcMar>
              <w:top w:w="0" w:type="dxa"/>
              <w:bottom w:w="0" w:type="dxa"/>
            </w:tcMar>
            <w:vAlign w:val="center"/>
          </w:tcPr>
          <w:p w14:paraId="012FCD7C" w14:textId="77777777" w:rsidR="00463087" w:rsidRDefault="008511FF">
            <w:pPr>
              <w:keepNext/>
              <w:keepLines/>
              <w:spacing w:after="0" w:line="240" w:lineRule="auto"/>
              <w:jc w:val="right"/>
            </w:pPr>
            <w:r>
              <w:rPr>
                <w:sz w:val="18"/>
              </w:rPr>
              <w:t>19,0</w:t>
            </w:r>
          </w:p>
        </w:tc>
      </w:tr>
    </w:tbl>
    <w:p w14:paraId="4836EA86" w14:textId="77777777" w:rsidR="00463087" w:rsidRDefault="00463087">
      <w:pPr>
        <w:spacing w:after="0"/>
      </w:pPr>
    </w:p>
    <w:p w14:paraId="7DCFE397" w14:textId="77777777" w:rsidR="00463087" w:rsidRDefault="008511FF">
      <w:proofErr w:type="spellStart"/>
      <w:r>
        <w:t>Sredstav</w:t>
      </w:r>
      <w:proofErr w:type="spellEnd"/>
      <w:r>
        <w:t xml:space="preserve"> po ovoj poziciji su namjenska za izradu </w:t>
      </w:r>
      <w:proofErr w:type="spellStart"/>
      <w:r>
        <w:t>svjedožbi</w:t>
      </w:r>
      <w:proofErr w:type="spellEnd"/>
      <w:r>
        <w:t>.</w:t>
      </w:r>
    </w:p>
    <w:p w14:paraId="2B5B1656" w14:textId="77777777" w:rsidR="00463087" w:rsidRDefault="00463087"/>
    <w:p w14:paraId="6074AC18" w14:textId="77777777" w:rsidR="00463087" w:rsidRDefault="008511FF">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63087" w14:paraId="1320BF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FB002A" w14:textId="77777777" w:rsidR="00463087" w:rsidRDefault="008511F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42373B" w14:textId="77777777" w:rsidR="00463087" w:rsidRDefault="008511F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4DA289" w14:textId="77777777" w:rsidR="00463087" w:rsidRDefault="008511F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611BEB" w14:textId="77777777" w:rsidR="00463087" w:rsidRDefault="008511F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78B80D" w14:textId="77777777" w:rsidR="00463087" w:rsidRDefault="008511FF">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14:paraId="38398E9C" w14:textId="77777777" w:rsidR="00463087" w:rsidRDefault="008511FF">
            <w:pPr>
              <w:keepNext/>
              <w:keepLines/>
              <w:spacing w:after="0" w:line="240" w:lineRule="auto"/>
              <w:jc w:val="center"/>
            </w:pPr>
            <w:r>
              <w:rPr>
                <w:b/>
                <w:sz w:val="18"/>
              </w:rPr>
              <w:t>Indeks (%)</w:t>
            </w:r>
          </w:p>
        </w:tc>
      </w:tr>
      <w:tr w:rsidR="00463087" w14:paraId="1F282A1E" w14:textId="77777777">
        <w:tblPrEx>
          <w:tblCellMar>
            <w:top w:w="0" w:type="dxa"/>
            <w:bottom w:w="0" w:type="dxa"/>
          </w:tblCellMar>
        </w:tblPrEx>
        <w:trPr>
          <w:cantSplit/>
          <w:trHeight w:val="560"/>
        </w:trPr>
        <w:tc>
          <w:tcPr>
            <w:tcW w:w="700" w:type="dxa"/>
            <w:tcMar>
              <w:top w:w="0" w:type="dxa"/>
              <w:bottom w:w="0" w:type="dxa"/>
            </w:tcMar>
            <w:vAlign w:val="center"/>
          </w:tcPr>
          <w:p w14:paraId="6A6DDFF8" w14:textId="77777777" w:rsidR="00463087" w:rsidRDefault="008511FF">
            <w:pPr>
              <w:keepNext/>
              <w:keepLines/>
              <w:spacing w:after="0" w:line="240" w:lineRule="auto"/>
            </w:pPr>
            <w:r>
              <w:rPr>
                <w:sz w:val="18"/>
              </w:rPr>
              <w:t>6614</w:t>
            </w:r>
          </w:p>
        </w:tc>
        <w:tc>
          <w:tcPr>
            <w:tcW w:w="3180" w:type="dxa"/>
            <w:tcMar>
              <w:top w:w="0" w:type="dxa"/>
              <w:bottom w:w="0" w:type="dxa"/>
            </w:tcMar>
            <w:vAlign w:val="center"/>
          </w:tcPr>
          <w:p w14:paraId="14362701" w14:textId="77777777" w:rsidR="00463087" w:rsidRDefault="008511FF">
            <w:pPr>
              <w:keepNext/>
              <w:keepLines/>
              <w:spacing w:after="0" w:line="240" w:lineRule="auto"/>
            </w:pPr>
            <w:r>
              <w:rPr>
                <w:sz w:val="18"/>
              </w:rPr>
              <w:t>Prihodi od prodaje proizvoda i robe</w:t>
            </w:r>
          </w:p>
        </w:tc>
        <w:tc>
          <w:tcPr>
            <w:tcW w:w="700" w:type="dxa"/>
            <w:tcMar>
              <w:top w:w="0" w:type="dxa"/>
              <w:bottom w:w="0" w:type="dxa"/>
            </w:tcMar>
            <w:vAlign w:val="center"/>
          </w:tcPr>
          <w:p w14:paraId="7C831924" w14:textId="77777777" w:rsidR="00463087" w:rsidRDefault="008511FF">
            <w:pPr>
              <w:keepNext/>
              <w:keepLines/>
              <w:spacing w:after="0" w:line="240" w:lineRule="auto"/>
            </w:pPr>
            <w:r>
              <w:rPr>
                <w:sz w:val="18"/>
              </w:rPr>
              <w:t>6614</w:t>
            </w:r>
          </w:p>
        </w:tc>
        <w:tc>
          <w:tcPr>
            <w:tcW w:w="1860" w:type="dxa"/>
            <w:tcMar>
              <w:top w:w="0" w:type="dxa"/>
              <w:bottom w:w="0" w:type="dxa"/>
            </w:tcMar>
            <w:vAlign w:val="center"/>
          </w:tcPr>
          <w:p w14:paraId="4C687ABB" w14:textId="77777777" w:rsidR="00463087" w:rsidRDefault="008511FF">
            <w:pPr>
              <w:keepNext/>
              <w:keepLines/>
              <w:spacing w:after="0" w:line="240" w:lineRule="auto"/>
              <w:jc w:val="right"/>
            </w:pPr>
            <w:r>
              <w:rPr>
                <w:sz w:val="18"/>
              </w:rPr>
              <w:t>1.199,20</w:t>
            </w:r>
          </w:p>
        </w:tc>
        <w:tc>
          <w:tcPr>
            <w:tcW w:w="1860" w:type="dxa"/>
            <w:tcMar>
              <w:top w:w="0" w:type="dxa"/>
              <w:bottom w:w="0" w:type="dxa"/>
            </w:tcMar>
            <w:vAlign w:val="center"/>
          </w:tcPr>
          <w:p w14:paraId="5F392D20" w14:textId="77777777" w:rsidR="00463087" w:rsidRDefault="008511FF">
            <w:pPr>
              <w:keepNext/>
              <w:keepLines/>
              <w:spacing w:after="0" w:line="240" w:lineRule="auto"/>
              <w:jc w:val="right"/>
            </w:pPr>
            <w:r>
              <w:rPr>
                <w:sz w:val="18"/>
              </w:rPr>
              <w:t>527,40</w:t>
            </w:r>
          </w:p>
        </w:tc>
        <w:tc>
          <w:tcPr>
            <w:tcW w:w="700" w:type="dxa"/>
            <w:tcMar>
              <w:top w:w="0" w:type="dxa"/>
              <w:bottom w:w="0" w:type="dxa"/>
            </w:tcMar>
            <w:vAlign w:val="center"/>
          </w:tcPr>
          <w:p w14:paraId="2F85129F" w14:textId="77777777" w:rsidR="00463087" w:rsidRDefault="008511FF">
            <w:pPr>
              <w:keepNext/>
              <w:keepLines/>
              <w:spacing w:after="0" w:line="240" w:lineRule="auto"/>
              <w:jc w:val="right"/>
            </w:pPr>
            <w:r>
              <w:rPr>
                <w:sz w:val="18"/>
              </w:rPr>
              <w:t>44,0</w:t>
            </w:r>
          </w:p>
        </w:tc>
      </w:tr>
    </w:tbl>
    <w:p w14:paraId="62E477E5" w14:textId="77777777" w:rsidR="00463087" w:rsidRDefault="00463087">
      <w:pPr>
        <w:spacing w:after="0"/>
      </w:pPr>
    </w:p>
    <w:p w14:paraId="71D87277" w14:textId="77777777" w:rsidR="00463087" w:rsidRDefault="008511FF">
      <w:r>
        <w:t>Škola je prodala željezne strugotine iz radionice, te je zaradila prihod od prodaje proizvoda u iznosu 527,40 eura.</w:t>
      </w:r>
    </w:p>
    <w:p w14:paraId="17AC3D1D" w14:textId="77777777" w:rsidR="00463087" w:rsidRDefault="00463087"/>
    <w:p w14:paraId="45B13B01" w14:textId="77777777" w:rsidR="00463087" w:rsidRDefault="008511FF">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63087" w14:paraId="33F349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317B6B" w14:textId="77777777" w:rsidR="00463087" w:rsidRDefault="008511F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587A7B" w14:textId="77777777" w:rsidR="00463087" w:rsidRDefault="008511F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5FACE2" w14:textId="77777777" w:rsidR="00463087" w:rsidRDefault="008511F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7818AB" w14:textId="77777777" w:rsidR="00463087" w:rsidRDefault="008511F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57254C" w14:textId="77777777" w:rsidR="00463087" w:rsidRDefault="008511FF">
            <w:pPr>
              <w:keepNext/>
              <w:keepLines/>
              <w:spacing w:after="0" w:line="240" w:lineRule="auto"/>
              <w:jc w:val="center"/>
            </w:pPr>
            <w:r>
              <w:rPr>
                <w:b/>
                <w:sz w:val="18"/>
              </w:rPr>
              <w:t>Ostvareno u izvještajnom razdoblju te</w:t>
            </w:r>
            <w:r>
              <w:rPr>
                <w:b/>
                <w:sz w:val="18"/>
              </w:rPr>
              <w:t>kuće godine</w:t>
            </w:r>
          </w:p>
        </w:tc>
        <w:tc>
          <w:tcPr>
            <w:tcW w:w="700" w:type="dxa"/>
            <w:shd w:val="clear" w:color="auto" w:fill="E7F0F9"/>
            <w:tcMar>
              <w:top w:w="0" w:type="dxa"/>
              <w:bottom w:w="0" w:type="dxa"/>
            </w:tcMar>
            <w:vAlign w:val="center"/>
          </w:tcPr>
          <w:p w14:paraId="5A3EBD5C" w14:textId="77777777" w:rsidR="00463087" w:rsidRDefault="008511FF">
            <w:pPr>
              <w:keepNext/>
              <w:keepLines/>
              <w:spacing w:after="0" w:line="240" w:lineRule="auto"/>
              <w:jc w:val="center"/>
            </w:pPr>
            <w:r>
              <w:rPr>
                <w:b/>
                <w:sz w:val="18"/>
              </w:rPr>
              <w:t>Indeks (%)</w:t>
            </w:r>
          </w:p>
        </w:tc>
      </w:tr>
      <w:tr w:rsidR="00463087" w14:paraId="2F6A9ACD" w14:textId="77777777">
        <w:tblPrEx>
          <w:tblCellMar>
            <w:top w:w="0" w:type="dxa"/>
            <w:bottom w:w="0" w:type="dxa"/>
          </w:tblCellMar>
        </w:tblPrEx>
        <w:trPr>
          <w:cantSplit/>
          <w:trHeight w:val="560"/>
        </w:trPr>
        <w:tc>
          <w:tcPr>
            <w:tcW w:w="700" w:type="dxa"/>
            <w:tcMar>
              <w:top w:w="0" w:type="dxa"/>
              <w:bottom w:w="0" w:type="dxa"/>
            </w:tcMar>
            <w:vAlign w:val="center"/>
          </w:tcPr>
          <w:p w14:paraId="17657C27" w14:textId="77777777" w:rsidR="00463087" w:rsidRDefault="008511FF">
            <w:pPr>
              <w:keepNext/>
              <w:keepLines/>
              <w:spacing w:after="0" w:line="240" w:lineRule="auto"/>
            </w:pPr>
            <w:r>
              <w:rPr>
                <w:sz w:val="18"/>
              </w:rPr>
              <w:t>6615</w:t>
            </w:r>
          </w:p>
        </w:tc>
        <w:tc>
          <w:tcPr>
            <w:tcW w:w="3180" w:type="dxa"/>
            <w:tcMar>
              <w:top w:w="0" w:type="dxa"/>
              <w:bottom w:w="0" w:type="dxa"/>
            </w:tcMar>
            <w:vAlign w:val="center"/>
          </w:tcPr>
          <w:p w14:paraId="2B58A7FB" w14:textId="77777777" w:rsidR="00463087" w:rsidRDefault="008511FF">
            <w:pPr>
              <w:keepNext/>
              <w:keepLines/>
              <w:spacing w:after="0" w:line="240" w:lineRule="auto"/>
            </w:pPr>
            <w:r>
              <w:rPr>
                <w:sz w:val="18"/>
              </w:rPr>
              <w:t>Prihodi od pruženih usluga</w:t>
            </w:r>
          </w:p>
        </w:tc>
        <w:tc>
          <w:tcPr>
            <w:tcW w:w="700" w:type="dxa"/>
            <w:tcMar>
              <w:top w:w="0" w:type="dxa"/>
              <w:bottom w:w="0" w:type="dxa"/>
            </w:tcMar>
            <w:vAlign w:val="center"/>
          </w:tcPr>
          <w:p w14:paraId="03310A6D" w14:textId="77777777" w:rsidR="00463087" w:rsidRDefault="008511FF">
            <w:pPr>
              <w:keepNext/>
              <w:keepLines/>
              <w:spacing w:after="0" w:line="240" w:lineRule="auto"/>
            </w:pPr>
            <w:r>
              <w:rPr>
                <w:sz w:val="18"/>
              </w:rPr>
              <w:t>6615</w:t>
            </w:r>
          </w:p>
        </w:tc>
        <w:tc>
          <w:tcPr>
            <w:tcW w:w="1860" w:type="dxa"/>
            <w:tcMar>
              <w:top w:w="0" w:type="dxa"/>
              <w:bottom w:w="0" w:type="dxa"/>
            </w:tcMar>
            <w:vAlign w:val="center"/>
          </w:tcPr>
          <w:p w14:paraId="0B699A98" w14:textId="77777777" w:rsidR="00463087" w:rsidRDefault="008511FF">
            <w:pPr>
              <w:keepNext/>
              <w:keepLines/>
              <w:spacing w:after="0" w:line="240" w:lineRule="auto"/>
              <w:jc w:val="right"/>
            </w:pPr>
            <w:r>
              <w:rPr>
                <w:sz w:val="18"/>
              </w:rPr>
              <w:t>49.385,57</w:t>
            </w:r>
          </w:p>
        </w:tc>
        <w:tc>
          <w:tcPr>
            <w:tcW w:w="1860" w:type="dxa"/>
            <w:tcMar>
              <w:top w:w="0" w:type="dxa"/>
              <w:bottom w:w="0" w:type="dxa"/>
            </w:tcMar>
            <w:vAlign w:val="center"/>
          </w:tcPr>
          <w:p w14:paraId="6D5C6607" w14:textId="77777777" w:rsidR="00463087" w:rsidRDefault="008511FF">
            <w:pPr>
              <w:keepNext/>
              <w:keepLines/>
              <w:spacing w:after="0" w:line="240" w:lineRule="auto"/>
              <w:jc w:val="right"/>
            </w:pPr>
            <w:r>
              <w:rPr>
                <w:sz w:val="18"/>
              </w:rPr>
              <w:t>66.588,43</w:t>
            </w:r>
          </w:p>
        </w:tc>
        <w:tc>
          <w:tcPr>
            <w:tcW w:w="700" w:type="dxa"/>
            <w:tcMar>
              <w:top w:w="0" w:type="dxa"/>
              <w:bottom w:w="0" w:type="dxa"/>
            </w:tcMar>
            <w:vAlign w:val="center"/>
          </w:tcPr>
          <w:p w14:paraId="0CC2FCD8" w14:textId="77777777" w:rsidR="00463087" w:rsidRDefault="008511FF">
            <w:pPr>
              <w:keepNext/>
              <w:keepLines/>
              <w:spacing w:after="0" w:line="240" w:lineRule="auto"/>
              <w:jc w:val="right"/>
            </w:pPr>
            <w:r>
              <w:rPr>
                <w:sz w:val="18"/>
              </w:rPr>
              <w:t>134,8</w:t>
            </w:r>
          </w:p>
        </w:tc>
      </w:tr>
    </w:tbl>
    <w:p w14:paraId="27C16405" w14:textId="77777777" w:rsidR="00463087" w:rsidRDefault="00463087">
      <w:pPr>
        <w:spacing w:after="0"/>
      </w:pPr>
    </w:p>
    <w:p w14:paraId="4126DA79" w14:textId="77777777" w:rsidR="00463087" w:rsidRDefault="008511FF">
      <w:r>
        <w:t xml:space="preserve">Prihod je u odnosu na prethodnu godinu ostvaren veći a, razlog je što škola ima Učenički servis, te je potreba za radom učenika bila velika zbog nedostatka radne snage, a samim tim je i zarada servisa bila znatno veća, te najam prostora za tople napitke i </w:t>
      </w:r>
      <w:r>
        <w:t>grickalice u vrijednosti 875,93 eura.</w:t>
      </w:r>
    </w:p>
    <w:p w14:paraId="0A9838D0" w14:textId="77777777" w:rsidR="00463087" w:rsidRDefault="00463087"/>
    <w:p w14:paraId="0CC849C6" w14:textId="77777777" w:rsidR="00463087" w:rsidRDefault="008511FF">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63087" w14:paraId="224B5D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C2EBF8" w14:textId="77777777" w:rsidR="00463087" w:rsidRDefault="008511F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E38E65" w14:textId="77777777" w:rsidR="00463087" w:rsidRDefault="008511F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DA7191" w14:textId="77777777" w:rsidR="00463087" w:rsidRDefault="008511F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4375FB" w14:textId="77777777" w:rsidR="00463087" w:rsidRDefault="008511F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1201C3" w14:textId="77777777" w:rsidR="00463087" w:rsidRDefault="008511F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DA7F1D" w14:textId="77777777" w:rsidR="00463087" w:rsidRDefault="008511FF">
            <w:pPr>
              <w:keepNext/>
              <w:keepLines/>
              <w:spacing w:after="0" w:line="240" w:lineRule="auto"/>
              <w:jc w:val="center"/>
            </w:pPr>
            <w:r>
              <w:rPr>
                <w:b/>
                <w:sz w:val="18"/>
              </w:rPr>
              <w:t>Indeks (%)</w:t>
            </w:r>
          </w:p>
        </w:tc>
      </w:tr>
      <w:tr w:rsidR="00463087" w14:paraId="42E4D233" w14:textId="77777777">
        <w:tblPrEx>
          <w:tblCellMar>
            <w:top w:w="0" w:type="dxa"/>
            <w:bottom w:w="0" w:type="dxa"/>
          </w:tblCellMar>
        </w:tblPrEx>
        <w:trPr>
          <w:cantSplit/>
          <w:trHeight w:val="560"/>
        </w:trPr>
        <w:tc>
          <w:tcPr>
            <w:tcW w:w="700" w:type="dxa"/>
            <w:tcMar>
              <w:top w:w="0" w:type="dxa"/>
              <w:bottom w:w="0" w:type="dxa"/>
            </w:tcMar>
            <w:vAlign w:val="center"/>
          </w:tcPr>
          <w:p w14:paraId="4044E7F8" w14:textId="77777777" w:rsidR="00463087" w:rsidRDefault="008511FF">
            <w:pPr>
              <w:keepNext/>
              <w:keepLines/>
              <w:spacing w:after="0" w:line="240" w:lineRule="auto"/>
            </w:pPr>
            <w:r>
              <w:rPr>
                <w:sz w:val="18"/>
              </w:rPr>
              <w:t>6711</w:t>
            </w:r>
          </w:p>
        </w:tc>
        <w:tc>
          <w:tcPr>
            <w:tcW w:w="3180" w:type="dxa"/>
            <w:tcMar>
              <w:top w:w="0" w:type="dxa"/>
              <w:bottom w:w="0" w:type="dxa"/>
            </w:tcMar>
            <w:vAlign w:val="center"/>
          </w:tcPr>
          <w:p w14:paraId="2E83E3C5" w14:textId="77777777" w:rsidR="00463087" w:rsidRDefault="008511FF">
            <w:pPr>
              <w:keepNext/>
              <w:keepLines/>
              <w:spacing w:after="0" w:line="240" w:lineRule="auto"/>
            </w:pPr>
            <w:r>
              <w:rPr>
                <w:sz w:val="18"/>
              </w:rPr>
              <w:t xml:space="preserve">Prihodi iz nadležnog proračuna za </w:t>
            </w:r>
            <w:r>
              <w:rPr>
                <w:sz w:val="18"/>
              </w:rPr>
              <w:t>financiranje rashoda poslovanja</w:t>
            </w:r>
          </w:p>
        </w:tc>
        <w:tc>
          <w:tcPr>
            <w:tcW w:w="700" w:type="dxa"/>
            <w:tcMar>
              <w:top w:w="0" w:type="dxa"/>
              <w:bottom w:w="0" w:type="dxa"/>
            </w:tcMar>
            <w:vAlign w:val="center"/>
          </w:tcPr>
          <w:p w14:paraId="14C5CBC5" w14:textId="77777777" w:rsidR="00463087" w:rsidRDefault="008511FF">
            <w:pPr>
              <w:keepNext/>
              <w:keepLines/>
              <w:spacing w:after="0" w:line="240" w:lineRule="auto"/>
            </w:pPr>
            <w:r>
              <w:rPr>
                <w:sz w:val="18"/>
              </w:rPr>
              <w:t>6711</w:t>
            </w:r>
          </w:p>
        </w:tc>
        <w:tc>
          <w:tcPr>
            <w:tcW w:w="1860" w:type="dxa"/>
            <w:tcMar>
              <w:top w:w="0" w:type="dxa"/>
              <w:bottom w:w="0" w:type="dxa"/>
            </w:tcMar>
            <w:vAlign w:val="center"/>
          </w:tcPr>
          <w:p w14:paraId="0326F7D2" w14:textId="77777777" w:rsidR="00463087" w:rsidRDefault="008511FF">
            <w:pPr>
              <w:keepNext/>
              <w:keepLines/>
              <w:spacing w:after="0" w:line="240" w:lineRule="auto"/>
              <w:jc w:val="right"/>
            </w:pPr>
            <w:r>
              <w:rPr>
                <w:sz w:val="18"/>
              </w:rPr>
              <w:t>118.243,26</w:t>
            </w:r>
          </w:p>
        </w:tc>
        <w:tc>
          <w:tcPr>
            <w:tcW w:w="1860" w:type="dxa"/>
            <w:tcMar>
              <w:top w:w="0" w:type="dxa"/>
              <w:bottom w:w="0" w:type="dxa"/>
            </w:tcMar>
            <w:vAlign w:val="center"/>
          </w:tcPr>
          <w:p w14:paraId="08FDF00F" w14:textId="77777777" w:rsidR="00463087" w:rsidRDefault="008511FF">
            <w:pPr>
              <w:keepNext/>
              <w:keepLines/>
              <w:spacing w:after="0" w:line="240" w:lineRule="auto"/>
              <w:jc w:val="right"/>
            </w:pPr>
            <w:r>
              <w:rPr>
                <w:sz w:val="18"/>
              </w:rPr>
              <w:t>119.559,62</w:t>
            </w:r>
          </w:p>
        </w:tc>
        <w:tc>
          <w:tcPr>
            <w:tcW w:w="700" w:type="dxa"/>
            <w:tcMar>
              <w:top w:w="0" w:type="dxa"/>
              <w:bottom w:w="0" w:type="dxa"/>
            </w:tcMar>
            <w:vAlign w:val="center"/>
          </w:tcPr>
          <w:p w14:paraId="10EF2ED8" w14:textId="77777777" w:rsidR="00463087" w:rsidRDefault="008511FF">
            <w:pPr>
              <w:keepNext/>
              <w:keepLines/>
              <w:spacing w:after="0" w:line="240" w:lineRule="auto"/>
              <w:jc w:val="right"/>
            </w:pPr>
            <w:r>
              <w:rPr>
                <w:sz w:val="18"/>
              </w:rPr>
              <w:t>101,1</w:t>
            </w:r>
          </w:p>
        </w:tc>
      </w:tr>
    </w:tbl>
    <w:p w14:paraId="5F60D2E4" w14:textId="77777777" w:rsidR="00463087" w:rsidRDefault="00463087">
      <w:pPr>
        <w:spacing w:after="0"/>
      </w:pPr>
    </w:p>
    <w:p w14:paraId="20876D9D" w14:textId="77777777" w:rsidR="00463087" w:rsidRDefault="008511FF">
      <w:r>
        <w:t xml:space="preserve">Prihod po ovoj skupini se odnose na izvor 11 pomoći u iznosu 741,13, po izvoru 122 111.677,61, izvor 14 e-tehničar 3479,76, administrativne pristojbe </w:t>
      </w:r>
      <w:proofErr w:type="spellStart"/>
      <w:r>
        <w:t>izv</w:t>
      </w:r>
      <w:proofErr w:type="spellEnd"/>
      <w:r>
        <w:t xml:space="preserve"> 15=891,07, za pomoćnika u nastavi </w:t>
      </w:r>
      <w:proofErr w:type="spellStart"/>
      <w:r>
        <w:t>izv</w:t>
      </w:r>
      <w:proofErr w:type="spellEnd"/>
      <w:r>
        <w:t xml:space="preserve"> 51-418,06, te izvor 56 - 2.351,99. </w:t>
      </w:r>
    </w:p>
    <w:p w14:paraId="0684F263" w14:textId="77777777" w:rsidR="00463087" w:rsidRDefault="00463087"/>
    <w:p w14:paraId="355364FB" w14:textId="77777777" w:rsidR="00463087" w:rsidRDefault="008511FF">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63087" w14:paraId="351A06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55C0AE" w14:textId="77777777" w:rsidR="00463087" w:rsidRDefault="008511FF">
            <w:pPr>
              <w:keepNext/>
              <w:keepLines/>
              <w:spacing w:after="0" w:line="240" w:lineRule="auto"/>
              <w:jc w:val="center"/>
            </w:pPr>
            <w:r>
              <w:rPr>
                <w:b/>
                <w:sz w:val="18"/>
              </w:rPr>
              <w:t xml:space="preserve">Račun iz </w:t>
            </w:r>
            <w:proofErr w:type="spellStart"/>
            <w:r>
              <w:rPr>
                <w:b/>
                <w:sz w:val="18"/>
              </w:rPr>
              <w:t>rač</w:t>
            </w:r>
            <w:proofErr w:type="spellEnd"/>
            <w:r>
              <w:rPr>
                <w:b/>
                <w:sz w:val="18"/>
              </w:rPr>
              <w:t>. p</w:t>
            </w:r>
            <w:r>
              <w:rPr>
                <w:b/>
                <w:sz w:val="18"/>
              </w:rPr>
              <w:t>lana</w:t>
            </w:r>
          </w:p>
        </w:tc>
        <w:tc>
          <w:tcPr>
            <w:tcW w:w="3180" w:type="dxa"/>
            <w:shd w:val="clear" w:color="auto" w:fill="E7F0F9"/>
            <w:tcMar>
              <w:top w:w="0" w:type="dxa"/>
              <w:bottom w:w="0" w:type="dxa"/>
            </w:tcMar>
            <w:vAlign w:val="center"/>
          </w:tcPr>
          <w:p w14:paraId="03CDC8B4" w14:textId="77777777" w:rsidR="00463087" w:rsidRDefault="008511F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994DAD" w14:textId="77777777" w:rsidR="00463087" w:rsidRDefault="008511F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45A6BB" w14:textId="77777777" w:rsidR="00463087" w:rsidRDefault="008511F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1A5FAD" w14:textId="77777777" w:rsidR="00463087" w:rsidRDefault="008511F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D5408B" w14:textId="77777777" w:rsidR="00463087" w:rsidRDefault="008511FF">
            <w:pPr>
              <w:keepNext/>
              <w:keepLines/>
              <w:spacing w:after="0" w:line="240" w:lineRule="auto"/>
              <w:jc w:val="center"/>
            </w:pPr>
            <w:r>
              <w:rPr>
                <w:b/>
                <w:sz w:val="18"/>
              </w:rPr>
              <w:t>Indeks (%)</w:t>
            </w:r>
          </w:p>
        </w:tc>
      </w:tr>
      <w:tr w:rsidR="00463087" w14:paraId="489168FB" w14:textId="77777777">
        <w:tblPrEx>
          <w:tblCellMar>
            <w:top w:w="0" w:type="dxa"/>
            <w:bottom w:w="0" w:type="dxa"/>
          </w:tblCellMar>
        </w:tblPrEx>
        <w:trPr>
          <w:cantSplit/>
          <w:trHeight w:val="560"/>
        </w:trPr>
        <w:tc>
          <w:tcPr>
            <w:tcW w:w="700" w:type="dxa"/>
            <w:tcMar>
              <w:top w:w="0" w:type="dxa"/>
              <w:bottom w:w="0" w:type="dxa"/>
            </w:tcMar>
            <w:vAlign w:val="center"/>
          </w:tcPr>
          <w:p w14:paraId="4273E167" w14:textId="77777777" w:rsidR="00463087" w:rsidRDefault="008511FF">
            <w:pPr>
              <w:keepNext/>
              <w:keepLines/>
              <w:spacing w:after="0" w:line="240" w:lineRule="auto"/>
            </w:pPr>
            <w:r>
              <w:rPr>
                <w:sz w:val="18"/>
              </w:rPr>
              <w:t>6712</w:t>
            </w:r>
          </w:p>
        </w:tc>
        <w:tc>
          <w:tcPr>
            <w:tcW w:w="3180" w:type="dxa"/>
            <w:tcMar>
              <w:top w:w="0" w:type="dxa"/>
              <w:bottom w:w="0" w:type="dxa"/>
            </w:tcMar>
            <w:vAlign w:val="center"/>
          </w:tcPr>
          <w:p w14:paraId="729AF34C" w14:textId="77777777" w:rsidR="00463087" w:rsidRDefault="008511FF">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3D74A45E" w14:textId="77777777" w:rsidR="00463087" w:rsidRDefault="008511FF">
            <w:pPr>
              <w:keepNext/>
              <w:keepLines/>
              <w:spacing w:after="0" w:line="240" w:lineRule="auto"/>
            </w:pPr>
            <w:r>
              <w:rPr>
                <w:sz w:val="18"/>
              </w:rPr>
              <w:t>6712</w:t>
            </w:r>
          </w:p>
        </w:tc>
        <w:tc>
          <w:tcPr>
            <w:tcW w:w="1860" w:type="dxa"/>
            <w:tcMar>
              <w:top w:w="0" w:type="dxa"/>
              <w:bottom w:w="0" w:type="dxa"/>
            </w:tcMar>
            <w:vAlign w:val="center"/>
          </w:tcPr>
          <w:p w14:paraId="3ED28A6F" w14:textId="77777777" w:rsidR="00463087" w:rsidRDefault="008511FF">
            <w:pPr>
              <w:keepNext/>
              <w:keepLines/>
              <w:spacing w:after="0" w:line="240" w:lineRule="auto"/>
              <w:jc w:val="right"/>
            </w:pPr>
            <w:r>
              <w:rPr>
                <w:sz w:val="18"/>
              </w:rPr>
              <w:t>4.424,55</w:t>
            </w:r>
          </w:p>
        </w:tc>
        <w:tc>
          <w:tcPr>
            <w:tcW w:w="1860" w:type="dxa"/>
            <w:tcMar>
              <w:top w:w="0" w:type="dxa"/>
              <w:bottom w:w="0" w:type="dxa"/>
            </w:tcMar>
            <w:vAlign w:val="center"/>
          </w:tcPr>
          <w:p w14:paraId="2E158776" w14:textId="77777777" w:rsidR="00463087" w:rsidRDefault="008511FF">
            <w:pPr>
              <w:keepNext/>
              <w:keepLines/>
              <w:spacing w:after="0" w:line="240" w:lineRule="auto"/>
              <w:jc w:val="right"/>
            </w:pPr>
            <w:r>
              <w:rPr>
                <w:sz w:val="18"/>
              </w:rPr>
              <w:t>11.237,99</w:t>
            </w:r>
          </w:p>
        </w:tc>
        <w:tc>
          <w:tcPr>
            <w:tcW w:w="700" w:type="dxa"/>
            <w:tcMar>
              <w:top w:w="0" w:type="dxa"/>
              <w:bottom w:w="0" w:type="dxa"/>
            </w:tcMar>
            <w:vAlign w:val="center"/>
          </w:tcPr>
          <w:p w14:paraId="0AFA8A1E" w14:textId="77777777" w:rsidR="00463087" w:rsidRDefault="008511FF">
            <w:pPr>
              <w:keepNext/>
              <w:keepLines/>
              <w:spacing w:after="0" w:line="240" w:lineRule="auto"/>
              <w:jc w:val="right"/>
            </w:pPr>
            <w:r>
              <w:rPr>
                <w:sz w:val="18"/>
              </w:rPr>
              <w:t>254,0</w:t>
            </w:r>
          </w:p>
        </w:tc>
      </w:tr>
    </w:tbl>
    <w:p w14:paraId="0D7534FC" w14:textId="77777777" w:rsidR="00463087" w:rsidRDefault="00463087">
      <w:pPr>
        <w:spacing w:after="0"/>
      </w:pPr>
    </w:p>
    <w:p w14:paraId="647E6C2E" w14:textId="77777777" w:rsidR="00463087" w:rsidRDefault="008511FF">
      <w:r>
        <w:t>Prihodi  su povećani zbog nabavke informatičke opreme, opreme za rad učenika za vježbe, namještaja, te knjiga za knjižnicu.</w:t>
      </w:r>
    </w:p>
    <w:p w14:paraId="6109093C" w14:textId="77777777" w:rsidR="00463087" w:rsidRDefault="00463087"/>
    <w:p w14:paraId="32B42B8C" w14:textId="77777777" w:rsidR="00463087" w:rsidRDefault="008511FF">
      <w:pPr>
        <w:keepNext/>
        <w:spacing w:line="240" w:lineRule="auto"/>
        <w:jc w:val="center"/>
      </w:pPr>
      <w:r>
        <w:rPr>
          <w:b/>
          <w:sz w:val="28"/>
        </w:rPr>
        <w:t>Bilanca</w:t>
      </w:r>
    </w:p>
    <w:p w14:paraId="44F77127" w14:textId="77777777" w:rsidR="00463087" w:rsidRDefault="008511FF">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63087" w14:paraId="6B5BF0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BCB018" w14:textId="77777777" w:rsidR="00463087" w:rsidRDefault="008511F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BC7B22" w14:textId="77777777" w:rsidR="00463087" w:rsidRDefault="008511F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CCAF34" w14:textId="77777777" w:rsidR="00463087" w:rsidRDefault="008511F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6A2E4A" w14:textId="77777777" w:rsidR="00463087" w:rsidRDefault="008511F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87EA2E6" w14:textId="77777777" w:rsidR="00463087" w:rsidRDefault="008511F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D3C3F79" w14:textId="77777777" w:rsidR="00463087" w:rsidRDefault="008511FF">
            <w:pPr>
              <w:keepNext/>
              <w:keepLines/>
              <w:spacing w:after="0" w:line="240" w:lineRule="auto"/>
              <w:jc w:val="center"/>
            </w:pPr>
            <w:r>
              <w:rPr>
                <w:b/>
                <w:sz w:val="18"/>
              </w:rPr>
              <w:t>Indeks (%)</w:t>
            </w:r>
          </w:p>
        </w:tc>
      </w:tr>
      <w:tr w:rsidR="00463087" w14:paraId="5E89858F" w14:textId="77777777">
        <w:tblPrEx>
          <w:tblCellMar>
            <w:top w:w="0" w:type="dxa"/>
            <w:bottom w:w="0" w:type="dxa"/>
          </w:tblCellMar>
        </w:tblPrEx>
        <w:trPr>
          <w:cantSplit/>
          <w:trHeight w:val="560"/>
        </w:trPr>
        <w:tc>
          <w:tcPr>
            <w:tcW w:w="700" w:type="dxa"/>
            <w:tcMar>
              <w:top w:w="0" w:type="dxa"/>
              <w:bottom w:w="0" w:type="dxa"/>
            </w:tcMar>
            <w:vAlign w:val="center"/>
          </w:tcPr>
          <w:p w14:paraId="412E0ADF" w14:textId="77777777" w:rsidR="00463087" w:rsidRDefault="008511FF">
            <w:pPr>
              <w:keepNext/>
              <w:keepLines/>
              <w:spacing w:after="0" w:line="240" w:lineRule="auto"/>
            </w:pPr>
            <w:r>
              <w:rPr>
                <w:sz w:val="18"/>
              </w:rPr>
              <w:t>11</w:t>
            </w:r>
          </w:p>
        </w:tc>
        <w:tc>
          <w:tcPr>
            <w:tcW w:w="3180" w:type="dxa"/>
            <w:tcMar>
              <w:top w:w="0" w:type="dxa"/>
              <w:bottom w:w="0" w:type="dxa"/>
            </w:tcMar>
            <w:vAlign w:val="center"/>
          </w:tcPr>
          <w:p w14:paraId="1E63F2FE" w14:textId="77777777" w:rsidR="00463087" w:rsidRDefault="008511FF">
            <w:pPr>
              <w:keepNext/>
              <w:keepLines/>
              <w:spacing w:after="0" w:line="240" w:lineRule="auto"/>
            </w:pPr>
            <w:r>
              <w:rPr>
                <w:sz w:val="18"/>
              </w:rPr>
              <w:t xml:space="preserve">Novac u banci i </w:t>
            </w:r>
            <w:r>
              <w:rPr>
                <w:sz w:val="18"/>
              </w:rPr>
              <w:t>blagajni (šifre 111+112 do 114)</w:t>
            </w:r>
          </w:p>
        </w:tc>
        <w:tc>
          <w:tcPr>
            <w:tcW w:w="700" w:type="dxa"/>
            <w:tcMar>
              <w:top w:w="0" w:type="dxa"/>
              <w:bottom w:w="0" w:type="dxa"/>
            </w:tcMar>
            <w:vAlign w:val="center"/>
          </w:tcPr>
          <w:p w14:paraId="7B6DB5EA" w14:textId="77777777" w:rsidR="00463087" w:rsidRDefault="008511FF">
            <w:pPr>
              <w:keepNext/>
              <w:keepLines/>
              <w:spacing w:after="0" w:line="240" w:lineRule="auto"/>
            </w:pPr>
            <w:r>
              <w:rPr>
                <w:sz w:val="18"/>
              </w:rPr>
              <w:t>11</w:t>
            </w:r>
          </w:p>
        </w:tc>
        <w:tc>
          <w:tcPr>
            <w:tcW w:w="1860" w:type="dxa"/>
            <w:tcMar>
              <w:top w:w="0" w:type="dxa"/>
              <w:bottom w:w="0" w:type="dxa"/>
            </w:tcMar>
            <w:vAlign w:val="center"/>
          </w:tcPr>
          <w:p w14:paraId="3AE8C253" w14:textId="77777777" w:rsidR="00463087" w:rsidRDefault="008511FF">
            <w:pPr>
              <w:keepNext/>
              <w:keepLines/>
              <w:spacing w:after="0" w:line="240" w:lineRule="auto"/>
              <w:jc w:val="right"/>
            </w:pPr>
            <w:r>
              <w:rPr>
                <w:sz w:val="18"/>
              </w:rPr>
              <w:t>57.110,49</w:t>
            </w:r>
          </w:p>
        </w:tc>
        <w:tc>
          <w:tcPr>
            <w:tcW w:w="1860" w:type="dxa"/>
            <w:tcMar>
              <w:top w:w="0" w:type="dxa"/>
              <w:bottom w:w="0" w:type="dxa"/>
            </w:tcMar>
            <w:vAlign w:val="center"/>
          </w:tcPr>
          <w:p w14:paraId="0E73CEC9" w14:textId="77777777" w:rsidR="00463087" w:rsidRDefault="008511FF">
            <w:pPr>
              <w:keepNext/>
              <w:keepLines/>
              <w:spacing w:after="0" w:line="240" w:lineRule="auto"/>
              <w:jc w:val="right"/>
            </w:pPr>
            <w:r>
              <w:rPr>
                <w:sz w:val="18"/>
              </w:rPr>
              <w:t>0,00</w:t>
            </w:r>
          </w:p>
        </w:tc>
        <w:tc>
          <w:tcPr>
            <w:tcW w:w="700" w:type="dxa"/>
            <w:tcMar>
              <w:top w:w="0" w:type="dxa"/>
              <w:bottom w:w="0" w:type="dxa"/>
            </w:tcMar>
            <w:vAlign w:val="center"/>
          </w:tcPr>
          <w:p w14:paraId="0BD0A653" w14:textId="77777777" w:rsidR="00463087" w:rsidRDefault="008511FF">
            <w:pPr>
              <w:keepNext/>
              <w:keepLines/>
              <w:spacing w:after="0" w:line="240" w:lineRule="auto"/>
              <w:jc w:val="right"/>
            </w:pPr>
            <w:r>
              <w:rPr>
                <w:sz w:val="18"/>
              </w:rPr>
              <w:t>0</w:t>
            </w:r>
          </w:p>
        </w:tc>
      </w:tr>
    </w:tbl>
    <w:p w14:paraId="5CD59CC2" w14:textId="77777777" w:rsidR="00463087" w:rsidRDefault="00463087">
      <w:pPr>
        <w:spacing w:after="0"/>
      </w:pPr>
    </w:p>
    <w:p w14:paraId="09EBA834" w14:textId="77777777" w:rsidR="00463087" w:rsidRDefault="008511FF">
      <w:r>
        <w:t>Odlukom o uvođenju jedinstvenog računa proračuna Bjelovarsko-bilogorske županije KLASA:400-01/24-01/06, URBROJ:2103-16-24-3, obavješteni smo da od ustanove trebaju zatvoriti svoje poslovne račune prijeći na jedinstveni račun od 28. travnja 2025. godine. </w:t>
      </w:r>
    </w:p>
    <w:p w14:paraId="30A091AF" w14:textId="77777777" w:rsidR="00463087" w:rsidRDefault="00463087"/>
    <w:p w14:paraId="1B01A24B" w14:textId="77777777" w:rsidR="00463087" w:rsidRDefault="008511FF">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63087" w14:paraId="6BD8210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BBE82C" w14:textId="77777777" w:rsidR="00463087" w:rsidRDefault="008511F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C69A0E" w14:textId="77777777" w:rsidR="00463087" w:rsidRDefault="008511F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10DC29" w14:textId="77777777" w:rsidR="00463087" w:rsidRDefault="008511F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DAD8E7" w14:textId="77777777" w:rsidR="00463087" w:rsidRDefault="008511F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8BFDEC0" w14:textId="77777777" w:rsidR="00463087" w:rsidRDefault="008511F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3D13481" w14:textId="77777777" w:rsidR="00463087" w:rsidRDefault="008511FF">
            <w:pPr>
              <w:keepNext/>
              <w:keepLines/>
              <w:spacing w:after="0" w:line="240" w:lineRule="auto"/>
              <w:jc w:val="center"/>
            </w:pPr>
            <w:r>
              <w:rPr>
                <w:b/>
                <w:sz w:val="18"/>
              </w:rPr>
              <w:t>Indeks (%)</w:t>
            </w:r>
          </w:p>
        </w:tc>
      </w:tr>
      <w:tr w:rsidR="00463087" w14:paraId="57878964" w14:textId="77777777">
        <w:tblPrEx>
          <w:tblCellMar>
            <w:top w:w="0" w:type="dxa"/>
            <w:bottom w:w="0" w:type="dxa"/>
          </w:tblCellMar>
        </w:tblPrEx>
        <w:trPr>
          <w:cantSplit/>
          <w:trHeight w:val="560"/>
        </w:trPr>
        <w:tc>
          <w:tcPr>
            <w:tcW w:w="700" w:type="dxa"/>
            <w:tcMar>
              <w:top w:w="0" w:type="dxa"/>
              <w:bottom w:w="0" w:type="dxa"/>
            </w:tcMar>
            <w:vAlign w:val="center"/>
          </w:tcPr>
          <w:p w14:paraId="5D775C5C" w14:textId="77777777" w:rsidR="00463087" w:rsidRDefault="008511FF">
            <w:pPr>
              <w:keepNext/>
              <w:keepLines/>
              <w:spacing w:after="0" w:line="240" w:lineRule="auto"/>
            </w:pPr>
            <w:r>
              <w:rPr>
                <w:sz w:val="18"/>
              </w:rPr>
              <w:t>922</w:t>
            </w:r>
          </w:p>
        </w:tc>
        <w:tc>
          <w:tcPr>
            <w:tcW w:w="3180" w:type="dxa"/>
            <w:tcMar>
              <w:top w:w="0" w:type="dxa"/>
              <w:bottom w:w="0" w:type="dxa"/>
            </w:tcMar>
            <w:vAlign w:val="center"/>
          </w:tcPr>
          <w:p w14:paraId="471F2165" w14:textId="77777777" w:rsidR="00463087" w:rsidRDefault="008511FF">
            <w:pPr>
              <w:keepNext/>
              <w:keepLines/>
              <w:spacing w:after="0" w:line="240" w:lineRule="auto"/>
            </w:pPr>
            <w:r>
              <w:rPr>
                <w:sz w:val="18"/>
              </w:rPr>
              <w:t>Rezultat - višak/manjak (šifre 9221-9222)</w:t>
            </w:r>
          </w:p>
        </w:tc>
        <w:tc>
          <w:tcPr>
            <w:tcW w:w="700" w:type="dxa"/>
            <w:tcMar>
              <w:top w:w="0" w:type="dxa"/>
              <w:bottom w:w="0" w:type="dxa"/>
            </w:tcMar>
            <w:vAlign w:val="center"/>
          </w:tcPr>
          <w:p w14:paraId="1050EFB8" w14:textId="77777777" w:rsidR="00463087" w:rsidRDefault="008511FF">
            <w:pPr>
              <w:keepNext/>
              <w:keepLines/>
              <w:spacing w:after="0" w:line="240" w:lineRule="auto"/>
            </w:pPr>
            <w:r>
              <w:rPr>
                <w:sz w:val="18"/>
              </w:rPr>
              <w:t>922</w:t>
            </w:r>
          </w:p>
        </w:tc>
        <w:tc>
          <w:tcPr>
            <w:tcW w:w="1860" w:type="dxa"/>
            <w:tcMar>
              <w:top w:w="0" w:type="dxa"/>
              <w:bottom w:w="0" w:type="dxa"/>
            </w:tcMar>
            <w:vAlign w:val="center"/>
          </w:tcPr>
          <w:p w14:paraId="0C091906" w14:textId="77777777" w:rsidR="00463087" w:rsidRDefault="008511FF">
            <w:pPr>
              <w:keepNext/>
              <w:keepLines/>
              <w:spacing w:after="0" w:line="240" w:lineRule="auto"/>
              <w:jc w:val="right"/>
            </w:pPr>
            <w:r>
              <w:rPr>
                <w:sz w:val="18"/>
              </w:rPr>
              <w:t>48.948,50</w:t>
            </w:r>
          </w:p>
        </w:tc>
        <w:tc>
          <w:tcPr>
            <w:tcW w:w="1860" w:type="dxa"/>
            <w:tcMar>
              <w:top w:w="0" w:type="dxa"/>
              <w:bottom w:w="0" w:type="dxa"/>
            </w:tcMar>
            <w:vAlign w:val="center"/>
          </w:tcPr>
          <w:p w14:paraId="5411B0FA" w14:textId="77777777" w:rsidR="00463087" w:rsidRDefault="008511FF">
            <w:pPr>
              <w:keepNext/>
              <w:keepLines/>
              <w:spacing w:after="0" w:line="240" w:lineRule="auto"/>
              <w:jc w:val="right"/>
            </w:pPr>
            <w:r>
              <w:rPr>
                <w:sz w:val="18"/>
              </w:rPr>
              <w:t>-101.238,64</w:t>
            </w:r>
          </w:p>
        </w:tc>
        <w:tc>
          <w:tcPr>
            <w:tcW w:w="700" w:type="dxa"/>
            <w:tcMar>
              <w:top w:w="0" w:type="dxa"/>
              <w:bottom w:w="0" w:type="dxa"/>
            </w:tcMar>
            <w:vAlign w:val="center"/>
          </w:tcPr>
          <w:p w14:paraId="45BF50B2" w14:textId="77777777" w:rsidR="00463087" w:rsidRDefault="008511FF">
            <w:pPr>
              <w:keepNext/>
              <w:keepLines/>
              <w:spacing w:after="0" w:line="240" w:lineRule="auto"/>
              <w:jc w:val="right"/>
            </w:pPr>
            <w:r>
              <w:rPr>
                <w:sz w:val="18"/>
              </w:rPr>
              <w:t>-206,8</w:t>
            </w:r>
          </w:p>
        </w:tc>
      </w:tr>
    </w:tbl>
    <w:p w14:paraId="05AE9B2C" w14:textId="77777777" w:rsidR="00463087" w:rsidRDefault="00463087">
      <w:pPr>
        <w:spacing w:after="0"/>
      </w:pPr>
    </w:p>
    <w:p w14:paraId="1683924C" w14:textId="77777777" w:rsidR="00463087" w:rsidRDefault="008511FF">
      <w:r>
        <w:t>Provedena je korekcija financijskog rezultata po Odluci o raspodjeli rezultata za 2024. u 2025. kojom se pokrio manjak od nefinancijske imovine viškom prihoda poslovanja, te je nakon raspodjele rezultat višak prihoda u iznosu 49.551,38 eura, dok je prenese</w:t>
      </w:r>
      <w:r>
        <w:t xml:space="preserve">ni manjak od </w:t>
      </w:r>
      <w:r>
        <w:lastRenderedPageBreak/>
        <w:t>nefinancijske imovine 602,88 eura po izvoru 122, koji ćemo pokriti prihodom u 2025. Korekciju financijskog rezultata radili smo 31.12.2025. prema Uputi Ministarstva financija objavljenoj u Okružnici 31.12.2025. , a cilj je bio što realnije isk</w:t>
      </w:r>
      <w:r>
        <w:t>azivanje rezultata poslovanja kroz godine, a na način da se korigira utvrđeni rezultat za 2024. koji je prenesen u 2025. na način da korigiraju višak te iskažu obvezu za primljeni predujam od AMPEU. Nakon provedene korekcije višak prihoda poslovanja iznosi</w:t>
      </w:r>
      <w:r>
        <w:t xml:space="preserve"> 25.528,18, sastoji se od izvor 32=28.330,79, izvor 566=666,14, manjak 122=3468,75.a manjak od </w:t>
      </w:r>
      <w:proofErr w:type="spellStart"/>
      <w:r>
        <w:t>nefin.imovine</w:t>
      </w:r>
      <w:proofErr w:type="spellEnd"/>
      <w:r>
        <w:t xml:space="preserve"> 602,88 eura izvor 122.</w:t>
      </w:r>
    </w:p>
    <w:p w14:paraId="509020A3" w14:textId="77777777" w:rsidR="00463087" w:rsidRDefault="008511FF">
      <w:r>
        <w:t>Financijski rezultat na kraju obračunskog razdoblja iznosi manjak za naredno razdoblje u iznosu  -101.268,64 eura, a sastoji</w:t>
      </w:r>
      <w:r>
        <w:t xml:space="preserve"> se nakon provedene korekcije za iznose kapitalnih pomoći od viška prihoda poslovanja za vlastita sredstva u iznosu 55.213,52, ali i manjka za vlastita sredstva od </w:t>
      </w:r>
      <w:proofErr w:type="spellStart"/>
      <w:r>
        <w:t>nefinacijske</w:t>
      </w:r>
      <w:proofErr w:type="spellEnd"/>
      <w:r>
        <w:t xml:space="preserve"> imovine u iznosu =-24.081,75 eura, koji će se </w:t>
      </w:r>
      <w:proofErr w:type="spellStart"/>
      <w:r>
        <w:t>koregirati</w:t>
      </w:r>
      <w:proofErr w:type="spellEnd"/>
      <w:r>
        <w:t xml:space="preserve"> s Odlukom školskog odb</w:t>
      </w:r>
      <w:r>
        <w:t>ora sa 31.03.2026. godine. U obračunskom razdoblju ostvaren je manjak poslovanja u iznosu 126.163,94 eura. Razlog nastanka manjka sastoji se od 13 rashoda iz Državnog proračuna za plaću, dok je prihoda ostvareno 12 u iznosu 105.465,72.  Višak prihoda za Er</w:t>
      </w:r>
      <w:r>
        <w:t xml:space="preserve">asmus projekt koji je ostao iz prethodnog projekta u iznosu =666,14 eura. Manjak prihoda poslovanja iz decentraliziranih sredstava po izvoru 122=-7.462,03 eura, e-tehničar izvor 14=-289,98 eura  a odnosi se na trošak knjižen u 12 </w:t>
      </w:r>
      <w:proofErr w:type="spellStart"/>
      <w:r>
        <w:t>mjesecu,a</w:t>
      </w:r>
      <w:proofErr w:type="spellEnd"/>
      <w:r>
        <w:t xml:space="preserve"> prihod će biti u</w:t>
      </w:r>
      <w:r>
        <w:t xml:space="preserve"> 2026. Za pomoćnicu u nastavi ostvaren je manjak po izvorima 51=-142,53, 56=-807,66 11=-175,20 , trošak plaćen je knjižen za 12 mjesec u 12 mjesecu, a prihod ćemo </w:t>
      </w:r>
      <w:proofErr w:type="spellStart"/>
      <w:r>
        <w:t>ostavariti</w:t>
      </w:r>
      <w:proofErr w:type="spellEnd"/>
      <w:r>
        <w:t xml:space="preserve"> u 2026. kada će joj biti isplaćena plaća za 12 mjesec. Od Agencije za mobilnost za</w:t>
      </w:r>
      <w:r>
        <w:t xml:space="preserve"> projekt </w:t>
      </w:r>
      <w:proofErr w:type="spellStart"/>
      <w:r>
        <w:t>erasmus</w:t>
      </w:r>
      <w:proofErr w:type="spellEnd"/>
      <w:r>
        <w:t xml:space="preserve">+ "Obrtnici bez granica" ostvaren je manjak =-18.693,43 eura, koji će se </w:t>
      </w:r>
      <w:proofErr w:type="spellStart"/>
      <w:r>
        <w:t>koregirati</w:t>
      </w:r>
      <w:proofErr w:type="spellEnd"/>
      <w:r>
        <w:t xml:space="preserve"> sa predajom konačnog izvješća kada ćemo si priznati prihode poslovanje za koja smo dobili sredstva. </w:t>
      </w:r>
    </w:p>
    <w:p w14:paraId="4440DB71" w14:textId="77777777" w:rsidR="00463087" w:rsidRDefault="008511FF">
      <w:r>
        <w:t> </w:t>
      </w:r>
    </w:p>
    <w:p w14:paraId="072F49CF" w14:textId="77777777" w:rsidR="00463087" w:rsidRDefault="00463087"/>
    <w:p w14:paraId="3C2F2FD0" w14:textId="77777777" w:rsidR="00463087" w:rsidRDefault="008511FF">
      <w:pPr>
        <w:keepNext/>
        <w:spacing w:line="240" w:lineRule="auto"/>
        <w:jc w:val="center"/>
      </w:pPr>
      <w:r>
        <w:rPr>
          <w:b/>
          <w:sz w:val="28"/>
        </w:rPr>
        <w:t>Promjene u vrijednosti i obujmu imovine i obveza</w:t>
      </w:r>
    </w:p>
    <w:p w14:paraId="794A1F71" w14:textId="77777777" w:rsidR="00463087" w:rsidRDefault="008511FF">
      <w:pPr>
        <w:keepNext/>
        <w:spacing w:line="240" w:lineRule="auto"/>
        <w:jc w:val="center"/>
      </w:pPr>
      <w:r>
        <w:rPr>
          <w:sz w:val="28"/>
        </w:rPr>
        <w:t>Bil</w:t>
      </w:r>
      <w:r>
        <w:rPr>
          <w:sz w:val="28"/>
        </w:rPr>
        <w:t>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63087" w14:paraId="7366160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A52CEF" w14:textId="77777777" w:rsidR="00463087" w:rsidRDefault="008511F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B9A277" w14:textId="77777777" w:rsidR="00463087" w:rsidRDefault="008511F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9AA0AC" w14:textId="77777777" w:rsidR="00463087" w:rsidRDefault="008511F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12C09F" w14:textId="77777777" w:rsidR="00463087" w:rsidRDefault="008511FF">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374814E" w14:textId="77777777" w:rsidR="00463087" w:rsidRDefault="008511FF">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7917C9C" w14:textId="77777777" w:rsidR="00463087" w:rsidRDefault="008511FF">
            <w:pPr>
              <w:keepNext/>
              <w:keepLines/>
              <w:spacing w:after="0" w:line="240" w:lineRule="auto"/>
              <w:jc w:val="center"/>
            </w:pPr>
            <w:r>
              <w:rPr>
                <w:b/>
                <w:sz w:val="18"/>
              </w:rPr>
              <w:t>Indeks (%)</w:t>
            </w:r>
          </w:p>
        </w:tc>
      </w:tr>
      <w:tr w:rsidR="00463087" w14:paraId="315E9CD0" w14:textId="77777777">
        <w:tblPrEx>
          <w:tblCellMar>
            <w:top w:w="0" w:type="dxa"/>
            <w:bottom w:w="0" w:type="dxa"/>
          </w:tblCellMar>
        </w:tblPrEx>
        <w:trPr>
          <w:cantSplit/>
          <w:trHeight w:val="560"/>
        </w:trPr>
        <w:tc>
          <w:tcPr>
            <w:tcW w:w="700" w:type="dxa"/>
            <w:tcMar>
              <w:top w:w="0" w:type="dxa"/>
              <w:bottom w:w="0" w:type="dxa"/>
            </w:tcMar>
            <w:vAlign w:val="center"/>
          </w:tcPr>
          <w:p w14:paraId="2E6814F0" w14:textId="77777777" w:rsidR="00463087" w:rsidRDefault="00463087">
            <w:pPr>
              <w:keepNext/>
              <w:keepLines/>
              <w:spacing w:after="0" w:line="240" w:lineRule="auto"/>
            </w:pPr>
          </w:p>
        </w:tc>
        <w:tc>
          <w:tcPr>
            <w:tcW w:w="3180" w:type="dxa"/>
            <w:tcMar>
              <w:top w:w="0" w:type="dxa"/>
              <w:bottom w:w="0" w:type="dxa"/>
            </w:tcMar>
            <w:vAlign w:val="center"/>
          </w:tcPr>
          <w:p w14:paraId="69F8018B" w14:textId="77777777" w:rsidR="00463087" w:rsidRDefault="008511FF">
            <w:pPr>
              <w:keepNext/>
              <w:keepLines/>
              <w:spacing w:after="0" w:line="240" w:lineRule="auto"/>
            </w:pPr>
            <w:r>
              <w:rPr>
                <w:sz w:val="18"/>
              </w:rPr>
              <w:t>Proizvedena dugotrajna imovina</w:t>
            </w:r>
          </w:p>
        </w:tc>
        <w:tc>
          <w:tcPr>
            <w:tcW w:w="700" w:type="dxa"/>
            <w:tcMar>
              <w:top w:w="0" w:type="dxa"/>
              <w:bottom w:w="0" w:type="dxa"/>
            </w:tcMar>
            <w:vAlign w:val="center"/>
          </w:tcPr>
          <w:p w14:paraId="6A6020D6" w14:textId="77777777" w:rsidR="00463087" w:rsidRDefault="008511FF">
            <w:pPr>
              <w:keepNext/>
              <w:keepLines/>
              <w:spacing w:after="0" w:line="240" w:lineRule="auto"/>
            </w:pPr>
            <w:r>
              <w:rPr>
                <w:sz w:val="18"/>
              </w:rPr>
              <w:t>P018</w:t>
            </w:r>
          </w:p>
        </w:tc>
        <w:tc>
          <w:tcPr>
            <w:tcW w:w="1860" w:type="dxa"/>
            <w:tcMar>
              <w:top w:w="0" w:type="dxa"/>
              <w:bottom w:w="0" w:type="dxa"/>
            </w:tcMar>
            <w:vAlign w:val="center"/>
          </w:tcPr>
          <w:p w14:paraId="04D8AECD" w14:textId="77777777" w:rsidR="00463087" w:rsidRDefault="008511FF">
            <w:pPr>
              <w:keepNext/>
              <w:keepLines/>
              <w:spacing w:after="0" w:line="240" w:lineRule="auto"/>
              <w:jc w:val="right"/>
            </w:pPr>
            <w:r>
              <w:rPr>
                <w:sz w:val="18"/>
              </w:rPr>
              <w:t>0,00</w:t>
            </w:r>
          </w:p>
        </w:tc>
        <w:tc>
          <w:tcPr>
            <w:tcW w:w="1860" w:type="dxa"/>
            <w:tcMar>
              <w:top w:w="0" w:type="dxa"/>
              <w:bottom w:w="0" w:type="dxa"/>
            </w:tcMar>
            <w:vAlign w:val="center"/>
          </w:tcPr>
          <w:p w14:paraId="07B6A805" w14:textId="77777777" w:rsidR="00463087" w:rsidRDefault="008511FF">
            <w:pPr>
              <w:keepNext/>
              <w:keepLines/>
              <w:spacing w:after="0" w:line="240" w:lineRule="auto"/>
              <w:jc w:val="right"/>
            </w:pPr>
            <w:r>
              <w:rPr>
                <w:sz w:val="18"/>
              </w:rPr>
              <w:t>45.470,53</w:t>
            </w:r>
          </w:p>
        </w:tc>
        <w:tc>
          <w:tcPr>
            <w:tcW w:w="700" w:type="dxa"/>
            <w:tcMar>
              <w:top w:w="0" w:type="dxa"/>
              <w:bottom w:w="0" w:type="dxa"/>
            </w:tcMar>
            <w:vAlign w:val="center"/>
          </w:tcPr>
          <w:p w14:paraId="05588E7A" w14:textId="77777777" w:rsidR="00463087" w:rsidRDefault="008511FF">
            <w:pPr>
              <w:keepNext/>
              <w:keepLines/>
              <w:spacing w:after="0" w:line="240" w:lineRule="auto"/>
              <w:jc w:val="right"/>
            </w:pPr>
            <w:r>
              <w:rPr>
                <w:sz w:val="18"/>
              </w:rPr>
              <w:t>-</w:t>
            </w:r>
          </w:p>
        </w:tc>
      </w:tr>
    </w:tbl>
    <w:p w14:paraId="15B29DC6" w14:textId="77777777" w:rsidR="00463087" w:rsidRDefault="00463087">
      <w:pPr>
        <w:spacing w:after="0"/>
      </w:pPr>
    </w:p>
    <w:p w14:paraId="005B6FFA" w14:textId="77777777" w:rsidR="00463087" w:rsidRDefault="008511FF">
      <w:r>
        <w:t>Smanjenje u obujmu imovine odnosi se na godišnji obračun amortizacije za 2025. godinu osnovnih sredstava = 24.750,55 , knjižnice 2.457,45, te prodaja osnovnih sredstava po Odluci čelnika zbog dotrajalosti i neispravnosti sredstava u vrijednosti =18.262,53.</w:t>
      </w:r>
      <w:r>
        <w:t> </w:t>
      </w:r>
    </w:p>
    <w:p w14:paraId="4EE38264" w14:textId="77777777" w:rsidR="00463087" w:rsidRDefault="00463087"/>
    <w:p w14:paraId="090E157E" w14:textId="77777777" w:rsidR="00463087" w:rsidRDefault="008511FF">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63087" w14:paraId="650AAC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5B387E" w14:textId="77777777" w:rsidR="00463087" w:rsidRDefault="008511F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93430B" w14:textId="77777777" w:rsidR="00463087" w:rsidRDefault="008511F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7FCDD7" w14:textId="77777777" w:rsidR="00463087" w:rsidRDefault="008511F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08B0EF" w14:textId="77777777" w:rsidR="00463087" w:rsidRDefault="008511FF">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878962C" w14:textId="77777777" w:rsidR="00463087" w:rsidRDefault="008511FF">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525C531" w14:textId="77777777" w:rsidR="00463087" w:rsidRDefault="008511FF">
            <w:pPr>
              <w:keepNext/>
              <w:keepLines/>
              <w:spacing w:after="0" w:line="240" w:lineRule="auto"/>
              <w:jc w:val="center"/>
            </w:pPr>
            <w:r>
              <w:rPr>
                <w:b/>
                <w:sz w:val="18"/>
              </w:rPr>
              <w:t>Indeks (%)</w:t>
            </w:r>
          </w:p>
        </w:tc>
      </w:tr>
      <w:tr w:rsidR="00463087" w14:paraId="0420DD2A" w14:textId="77777777">
        <w:tblPrEx>
          <w:tblCellMar>
            <w:top w:w="0" w:type="dxa"/>
            <w:bottom w:w="0" w:type="dxa"/>
          </w:tblCellMar>
        </w:tblPrEx>
        <w:trPr>
          <w:cantSplit/>
          <w:trHeight w:val="560"/>
        </w:trPr>
        <w:tc>
          <w:tcPr>
            <w:tcW w:w="700" w:type="dxa"/>
            <w:tcMar>
              <w:top w:w="0" w:type="dxa"/>
              <w:bottom w:w="0" w:type="dxa"/>
            </w:tcMar>
            <w:vAlign w:val="center"/>
          </w:tcPr>
          <w:p w14:paraId="659844C1" w14:textId="77777777" w:rsidR="00463087" w:rsidRDefault="00463087">
            <w:pPr>
              <w:keepNext/>
              <w:keepLines/>
              <w:spacing w:after="0" w:line="240" w:lineRule="auto"/>
            </w:pPr>
          </w:p>
        </w:tc>
        <w:tc>
          <w:tcPr>
            <w:tcW w:w="3180" w:type="dxa"/>
            <w:tcMar>
              <w:top w:w="0" w:type="dxa"/>
              <w:bottom w:w="0" w:type="dxa"/>
            </w:tcMar>
            <w:vAlign w:val="center"/>
          </w:tcPr>
          <w:p w14:paraId="1D927F59" w14:textId="77777777" w:rsidR="00463087" w:rsidRDefault="008511FF">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182C4E01" w14:textId="77777777" w:rsidR="00463087" w:rsidRDefault="008511FF">
            <w:pPr>
              <w:keepNext/>
              <w:keepLines/>
              <w:spacing w:after="0" w:line="240" w:lineRule="auto"/>
            </w:pPr>
            <w:r>
              <w:rPr>
                <w:sz w:val="18"/>
              </w:rPr>
              <w:t>P020</w:t>
            </w:r>
          </w:p>
        </w:tc>
        <w:tc>
          <w:tcPr>
            <w:tcW w:w="1860" w:type="dxa"/>
            <w:tcMar>
              <w:top w:w="0" w:type="dxa"/>
              <w:bottom w:w="0" w:type="dxa"/>
            </w:tcMar>
            <w:vAlign w:val="center"/>
          </w:tcPr>
          <w:p w14:paraId="76B93994" w14:textId="77777777" w:rsidR="00463087" w:rsidRDefault="008511FF">
            <w:pPr>
              <w:keepNext/>
              <w:keepLines/>
              <w:spacing w:after="0" w:line="240" w:lineRule="auto"/>
              <w:jc w:val="right"/>
            </w:pPr>
            <w:r>
              <w:rPr>
                <w:sz w:val="18"/>
              </w:rPr>
              <w:t>0,00</w:t>
            </w:r>
          </w:p>
        </w:tc>
        <w:tc>
          <w:tcPr>
            <w:tcW w:w="1860" w:type="dxa"/>
            <w:tcMar>
              <w:top w:w="0" w:type="dxa"/>
              <w:bottom w:w="0" w:type="dxa"/>
            </w:tcMar>
            <w:vAlign w:val="center"/>
          </w:tcPr>
          <w:p w14:paraId="3AE2CBF7" w14:textId="77777777" w:rsidR="00463087" w:rsidRDefault="008511FF">
            <w:pPr>
              <w:keepNext/>
              <w:keepLines/>
              <w:spacing w:after="0" w:line="240" w:lineRule="auto"/>
              <w:jc w:val="right"/>
            </w:pPr>
            <w:r>
              <w:rPr>
                <w:sz w:val="18"/>
              </w:rPr>
              <w:t>1.588,00</w:t>
            </w:r>
          </w:p>
        </w:tc>
        <w:tc>
          <w:tcPr>
            <w:tcW w:w="700" w:type="dxa"/>
            <w:tcMar>
              <w:top w:w="0" w:type="dxa"/>
              <w:bottom w:w="0" w:type="dxa"/>
            </w:tcMar>
            <w:vAlign w:val="center"/>
          </w:tcPr>
          <w:p w14:paraId="29B79D78" w14:textId="77777777" w:rsidR="00463087" w:rsidRDefault="008511FF">
            <w:pPr>
              <w:keepNext/>
              <w:keepLines/>
              <w:spacing w:after="0" w:line="240" w:lineRule="auto"/>
              <w:jc w:val="right"/>
            </w:pPr>
            <w:r>
              <w:rPr>
                <w:sz w:val="18"/>
              </w:rPr>
              <w:t>-</w:t>
            </w:r>
          </w:p>
        </w:tc>
      </w:tr>
    </w:tbl>
    <w:p w14:paraId="7BD13C31" w14:textId="77777777" w:rsidR="00463087" w:rsidRDefault="00463087">
      <w:pPr>
        <w:spacing w:after="0"/>
      </w:pPr>
    </w:p>
    <w:p w14:paraId="24FF1CE3" w14:textId="77777777" w:rsidR="00463087" w:rsidRDefault="008511FF">
      <w:r>
        <w:t xml:space="preserve">Promjene u obujmu sitnog inventara </w:t>
      </w:r>
      <w:proofErr w:type="spellStart"/>
      <w:r>
        <w:t>opdnosi</w:t>
      </w:r>
      <w:proofErr w:type="spellEnd"/>
      <w:r>
        <w:t xml:space="preserve"> se dobivena sredstva od Porezne uprave Područni ured Bjelovar , Odlukom o besplatnoj </w:t>
      </w:r>
      <w:proofErr w:type="spellStart"/>
      <w:r>
        <w:t>dosdjeli</w:t>
      </w:r>
      <w:proofErr w:type="spellEnd"/>
      <w:r>
        <w:t xml:space="preserve"> oduzetih predmeta zaprimili smo </w:t>
      </w:r>
      <w:proofErr w:type="spellStart"/>
      <w:r>
        <w:t>Parkside</w:t>
      </w:r>
      <w:proofErr w:type="spellEnd"/>
      <w:r>
        <w:t xml:space="preserve"> uređaje za vježbe učenicima u vrijednosti 1.588 eura.</w:t>
      </w:r>
    </w:p>
    <w:p w14:paraId="6A03F852" w14:textId="77777777" w:rsidR="00463087" w:rsidRDefault="00463087"/>
    <w:p w14:paraId="355A430C" w14:textId="77777777" w:rsidR="00463087" w:rsidRDefault="008511FF">
      <w:pPr>
        <w:keepNext/>
        <w:spacing w:line="240" w:lineRule="auto"/>
        <w:jc w:val="center"/>
      </w:pPr>
      <w:r>
        <w:rPr>
          <w:b/>
          <w:sz w:val="28"/>
        </w:rPr>
        <w:t>Izvještaj o obvezama</w:t>
      </w:r>
    </w:p>
    <w:p w14:paraId="62CAF45B" w14:textId="77777777" w:rsidR="00463087" w:rsidRDefault="008511FF">
      <w:pPr>
        <w:keepNext/>
        <w:spacing w:line="240" w:lineRule="auto"/>
        <w:jc w:val="center"/>
      </w:pPr>
      <w:r>
        <w:rPr>
          <w:sz w:val="28"/>
        </w:rPr>
        <w:t>Bi</w:t>
      </w:r>
      <w:r>
        <w:rPr>
          <w:sz w:val="28"/>
        </w:rPr>
        <w:t>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63087" w14:paraId="334DA0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0D2E76" w14:textId="77777777" w:rsidR="00463087" w:rsidRDefault="008511F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BC31D1" w14:textId="77777777" w:rsidR="00463087" w:rsidRDefault="008511F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D00DAB" w14:textId="77777777" w:rsidR="00463087" w:rsidRDefault="008511F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A944CA" w14:textId="77777777" w:rsidR="00463087" w:rsidRDefault="008511F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1C0FA43" w14:textId="77777777" w:rsidR="00463087" w:rsidRDefault="008511FF">
            <w:pPr>
              <w:keepNext/>
              <w:keepLines/>
              <w:spacing w:after="0" w:line="240" w:lineRule="auto"/>
              <w:jc w:val="center"/>
            </w:pPr>
            <w:r>
              <w:rPr>
                <w:b/>
                <w:sz w:val="18"/>
              </w:rPr>
              <w:t>Indeks (%)</w:t>
            </w:r>
          </w:p>
        </w:tc>
      </w:tr>
      <w:tr w:rsidR="00463087" w14:paraId="50570505" w14:textId="77777777">
        <w:tblPrEx>
          <w:tblCellMar>
            <w:top w:w="0" w:type="dxa"/>
            <w:bottom w:w="0" w:type="dxa"/>
          </w:tblCellMar>
        </w:tblPrEx>
        <w:trPr>
          <w:cantSplit/>
          <w:trHeight w:val="560"/>
        </w:trPr>
        <w:tc>
          <w:tcPr>
            <w:tcW w:w="700" w:type="dxa"/>
            <w:tcMar>
              <w:top w:w="0" w:type="dxa"/>
              <w:bottom w:w="0" w:type="dxa"/>
            </w:tcMar>
            <w:vAlign w:val="center"/>
          </w:tcPr>
          <w:p w14:paraId="43FFFAAA" w14:textId="77777777" w:rsidR="00463087" w:rsidRDefault="00463087">
            <w:pPr>
              <w:keepNext/>
              <w:keepLines/>
              <w:spacing w:after="0" w:line="240" w:lineRule="auto"/>
            </w:pPr>
          </w:p>
        </w:tc>
        <w:tc>
          <w:tcPr>
            <w:tcW w:w="3180" w:type="dxa"/>
            <w:tcMar>
              <w:top w:w="0" w:type="dxa"/>
              <w:bottom w:w="0" w:type="dxa"/>
            </w:tcMar>
            <w:vAlign w:val="center"/>
          </w:tcPr>
          <w:p w14:paraId="4E401D5B" w14:textId="77777777" w:rsidR="00463087" w:rsidRDefault="008511FF">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CB2FE7C" w14:textId="77777777" w:rsidR="00463087" w:rsidRDefault="008511FF">
            <w:pPr>
              <w:keepNext/>
              <w:keepLines/>
              <w:spacing w:after="0" w:line="240" w:lineRule="auto"/>
            </w:pPr>
            <w:r>
              <w:rPr>
                <w:sz w:val="18"/>
              </w:rPr>
              <w:t>V007</w:t>
            </w:r>
          </w:p>
        </w:tc>
        <w:tc>
          <w:tcPr>
            <w:tcW w:w="1860" w:type="dxa"/>
            <w:tcMar>
              <w:top w:w="0" w:type="dxa"/>
              <w:bottom w:w="0" w:type="dxa"/>
            </w:tcMar>
            <w:vAlign w:val="center"/>
          </w:tcPr>
          <w:p w14:paraId="49D98708" w14:textId="77777777" w:rsidR="00463087" w:rsidRDefault="008511FF">
            <w:pPr>
              <w:keepNext/>
              <w:keepLines/>
              <w:spacing w:after="0" w:line="240" w:lineRule="auto"/>
              <w:jc w:val="right"/>
            </w:pPr>
            <w:r>
              <w:rPr>
                <w:sz w:val="18"/>
              </w:rPr>
              <w:t>0,00</w:t>
            </w:r>
          </w:p>
        </w:tc>
        <w:tc>
          <w:tcPr>
            <w:tcW w:w="700" w:type="dxa"/>
            <w:tcMar>
              <w:top w:w="0" w:type="dxa"/>
              <w:bottom w:w="0" w:type="dxa"/>
            </w:tcMar>
            <w:vAlign w:val="center"/>
          </w:tcPr>
          <w:p w14:paraId="391E0949" w14:textId="77777777" w:rsidR="00463087" w:rsidRDefault="008511FF">
            <w:pPr>
              <w:keepNext/>
              <w:keepLines/>
              <w:spacing w:after="0" w:line="240" w:lineRule="auto"/>
              <w:jc w:val="right"/>
            </w:pPr>
            <w:r>
              <w:rPr>
                <w:sz w:val="18"/>
              </w:rPr>
              <w:t>-</w:t>
            </w:r>
          </w:p>
        </w:tc>
      </w:tr>
    </w:tbl>
    <w:p w14:paraId="35685FF1" w14:textId="77777777" w:rsidR="00463087" w:rsidRDefault="00463087">
      <w:pPr>
        <w:spacing w:after="0"/>
      </w:pPr>
    </w:p>
    <w:p w14:paraId="00357333" w14:textId="77777777" w:rsidR="00463087" w:rsidRDefault="008511FF">
      <w:r>
        <w:t>Stanje obveza 01.01.2025.godine iznose 99.485,31 eura, od tog iznosa najveći je udio nedospjelih obveza koji se odnosi na plaću za 12/2023, a koje dospijevaju u siječnju 2025.godine, te na troškove vezane za dvanaesti mjesec, a koji dospijevaju u prvom mje</w:t>
      </w:r>
      <w:r>
        <w:t>secu.</w:t>
      </w:r>
    </w:p>
    <w:p w14:paraId="1D912C6B" w14:textId="77777777" w:rsidR="00463087" w:rsidRDefault="008511FF">
      <w:r>
        <w:t xml:space="preserve">Stanje obveza na dan 31.12. 2025.godine iznose 170.707,37 eura, od toga su sve obveze nedospjele. Iznos obveza odnosi se na plaću 12 mjeseca 106.252,77 eura, materijalna prava regres za </w:t>
      </w:r>
      <w:proofErr w:type="spellStart"/>
      <w:r>
        <w:t>godiš.odmor</w:t>
      </w:r>
      <w:proofErr w:type="spellEnd"/>
      <w:r>
        <w:t xml:space="preserve"> </w:t>
      </w:r>
      <w:proofErr w:type="spellStart"/>
      <w:r>
        <w:t>Volgemut</w:t>
      </w:r>
      <w:proofErr w:type="spellEnd"/>
      <w:r>
        <w:t xml:space="preserve"> =300,00, jubilarna nagrada </w:t>
      </w:r>
      <w:proofErr w:type="spellStart"/>
      <w:r>
        <w:t>Pavec</w:t>
      </w:r>
      <w:proofErr w:type="spellEnd"/>
      <w:r>
        <w:t xml:space="preserve"> </w:t>
      </w:r>
      <w:proofErr w:type="spellStart"/>
      <w:r>
        <w:t>Lj</w:t>
      </w:r>
      <w:proofErr w:type="spellEnd"/>
      <w:r>
        <w:t>. =912,9</w:t>
      </w:r>
      <w:r>
        <w:t xml:space="preserve">5,  plaća pomoćnice u nastavi za 12 mjesec 1.125,39 ,  E-tehničar 12 mjesec =289,98 , prijevoz zaposlenika na posao 12 mjesec =3.461,02. Ostali rashodi poslovanja  (najam dvorane, uredskog materijala i dijelovi za </w:t>
      </w:r>
      <w:proofErr w:type="spellStart"/>
      <w:r>
        <w:t>tek.održavanje</w:t>
      </w:r>
      <w:proofErr w:type="spellEnd"/>
      <w:r>
        <w:t>, naknada Fini,  materijal z</w:t>
      </w:r>
      <w:r>
        <w:t>a vježbe učenika, Hrvatski telekom, Komunalac , Vodne usluge, Hrvatska pošta)  u iznosu 904,06 eura. U 2025. smo dobili uplatu za novi Erasmus+ projekt "Obrtnici za budućnost" u iznosu 52.597,60.  Međusobne obveze proračunskih korisnika se odnosi na obveze</w:t>
      </w:r>
      <w:r>
        <w:t xml:space="preserve"> za plaćanje računa za struju i plin kojeg Tehnička škola Bjelovar pola iznosa refundira Obrtničkoj školi što za 12. mjesec iznosi 2.297,05 eura, te obveze za bolovanje preko 42 dana 99,52 eura. </w:t>
      </w:r>
    </w:p>
    <w:p w14:paraId="6561C3E3" w14:textId="77777777" w:rsidR="00463087" w:rsidRDefault="00463087"/>
    <w:p w14:paraId="72A4BA79" w14:textId="77777777" w:rsidR="00463087" w:rsidRDefault="008511FF">
      <w:pPr>
        <w:keepNext/>
        <w:spacing w:line="240" w:lineRule="auto"/>
        <w:jc w:val="center"/>
      </w:pPr>
      <w:r>
        <w:rPr>
          <w:sz w:val="28"/>
        </w:rPr>
        <w:t>Bilješka 15.</w:t>
      </w:r>
    </w:p>
    <w:p w14:paraId="34929A16" w14:textId="77777777" w:rsidR="00463087" w:rsidRDefault="008511FF">
      <w:pPr>
        <w:spacing w:line="240" w:lineRule="auto"/>
        <w:jc w:val="both"/>
      </w:pPr>
      <w:r>
        <w:rPr>
          <w:b/>
        </w:rPr>
        <w:t>EU izvještaj</w:t>
      </w:r>
    </w:p>
    <w:p w14:paraId="772E07A5" w14:textId="77777777" w:rsidR="00463087" w:rsidRDefault="008511FF">
      <w:r>
        <w:t>U 2024. godini Škola je odobren n</w:t>
      </w:r>
      <w:r>
        <w:t>ovi Erasmus projekt „Obrtnici bez granica“  2024-1-HR01-KA121-VET-000236383 ukupan iznos projekta 30.029,00 ,od toga nam je bilo isplaćeno 80% vrijednosti projekta u iznosu 24.023,20  eura u 2024. godini, koji je realiziran u 2024 i 2025. godini, te konačn</w:t>
      </w:r>
      <w:r>
        <w:t>o izvješće je napravljeno u 2025. godini po kojemu smo dobili konačnu isplatu u iznosu 6.005,80. Projekt je završen u 2025. godini.</w:t>
      </w:r>
    </w:p>
    <w:p w14:paraId="3BE833FC" w14:textId="77777777" w:rsidR="00463087" w:rsidRDefault="008511FF">
      <w:r>
        <w:lastRenderedPageBreak/>
        <w:t>Za novi projekt Erasmus+ "Obrtnici za budućnost" 2025-1-HR01-KA121-VET-000327031 u 2025. ukupan iznos projekta koji nam je o</w:t>
      </w:r>
      <w:r>
        <w:t>dobren 65.747,00 eura, od toga nam je isplaćeno 80% vrijednosti  u iznosu 52.597,60 eura. Od toga projekta realizirana su dva putovanja u iznosu 14.109,01 eura.</w:t>
      </w:r>
    </w:p>
    <w:p w14:paraId="561F2BE1" w14:textId="77777777" w:rsidR="00463087" w:rsidRDefault="008511FF">
      <w:r>
        <w:t>Škola ima zaposlenog pomoćnika u nastavi od 01.09.2025. godine za kojeg dio se sufinancira iz E</w:t>
      </w:r>
      <w:r>
        <w:t xml:space="preserve">uropskog socijalnog fonda u iznosu ostvarenih prihoda za 2025. godinu =2.351,99, te rashoda u iznosu =3.159,65, manjak u iznosu 807,66 eura, koji </w:t>
      </w:r>
      <w:proofErr w:type="spellStart"/>
      <w:r>
        <w:t>ćini</w:t>
      </w:r>
      <w:proofErr w:type="spellEnd"/>
      <w:r>
        <w:t xml:space="preserve"> trošak u 2025. , a prihod će se ostvariti u 2026. godini.</w:t>
      </w:r>
    </w:p>
    <w:p w14:paraId="04E32EB5" w14:textId="77777777" w:rsidR="00463087" w:rsidRDefault="00463087"/>
    <w:sectPr w:rsidR="004630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87"/>
    <w:rsid w:val="00463087"/>
    <w:rsid w:val="008511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E9DCF"/>
  <w15:docId w15:val="{3F83DF5F-F54B-410C-B787-701F5791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2585</Words>
  <Characters>14740</Characters>
  <Application>Microsoft Office Word</Application>
  <DocSecurity>0</DocSecurity>
  <Lines>122</Lines>
  <Paragraphs>34</Paragraphs>
  <ScaleCrop>false</ScaleCrop>
  <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Tajnica</cp:lastModifiedBy>
  <cp:revision>2</cp:revision>
  <dcterms:created xsi:type="dcterms:W3CDTF">2026-02-02T12:58:00Z</dcterms:created>
  <dcterms:modified xsi:type="dcterms:W3CDTF">2026-02-02T12:58:00Z</dcterms:modified>
</cp:coreProperties>
</file>