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35eb014911e54b79"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19038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OBRTNIČKA ŠKOLA BJELOVAR</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667.513,61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770.633,60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778.343,99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808.918,05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110.830,38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38.284,45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34,5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4.631,09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24.020,92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518,7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3.566,09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24.020,92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673,6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114.396,47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62.305,37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54,5</w:t>
            </w:r>
          </w:p>
        </w:tc>
      </w:tr>
    </w:tbl>
    <w:p>
      <w:pPr>
        <w:spacing w:before="0" w:after="0"/>
      </w:pPr>
    </w:p>
    <w:p>
      <w:r>
        <w:t xml:space="preserve">U razdoblju od 1. siječnja do 30. lipnja 2026. godine prihodi poslovanja ostvareni su u iznosu od 770.633,60 eura.</w:t>
      </w:r>
    </w:p>
    <w:p>
      <w:r>
        <w:t xml:space="preserve">Značajnije povećanje prihoda poslovanja ostvareno je od tekućih pomoći proračunskim korisnicima iz proračuna koji im nije nadležan, zbog donošenja novog Zakona o plaćama i Uredbe o nazivima radnih mjesta, uvjetima za raspored i koeficijentima za obračun plaća u javnim službama (NN 22/2024 od 26. veljače 2024.), kao i zbog povećanja osnovice za obračun plaće za 3 % u odnosu na isto razdoblje prethodne godine.</w:t>
      </w:r>
    </w:p>
    <w:p>
      <w:r>
        <w:t xml:space="preserve">Povećanje prihoda Škola je ostvarila i putem Učeničkog servisa, s obzirom na sve veću potražnju za radom učenika tijekom školskih praznika. Škola obavlja djelatnost srednjoškolskog obrazovanja te, kao ovlašteni posrednik temeljem rješenja Ministarstva rada i mirovinskog sustava (KLASA: UP/I-102-02/14-01/03, URBROJ: 524-03-02-01/3-14-3 od 18. lipnja 2014. godine), obavlja poslove posredovanja pri povremenom radu redovitih učenika tijekom zimskog, proljetnog i ljetnog odmora. Pravo na korištenje usluga Učeničkog servisa imaju redoviti učenici srednjih škola s područja Bjelovarsko-bilogorske županije. Prihodi se ostvaruju temeljem izlaznih računa koje Škola ispostavlja poslodavcima kod kojih učenici rade, pri čemu naknada Škole iznosi 10 % učenikove zarade. Škola nije u sustavu PDV-a.</w:t>
      </w:r>
    </w:p>
    <w:p>
      <w:r>
        <w:t xml:space="preserve">Značajno povećanje prihoda ostvareno je i iz nadležnog proračuna.</w:t>
      </w:r>
    </w:p>
    <w:p>
      <w:r>
        <w:t xml:space="preserve">Rashodi poslovanja u razdoblju od 1. siječnja do 30. lipnja 2026. godine ostvareni su u iznosu od 808.918,05 eura. Povećanje rashoda odnosi se prvenstveno na naknade za prijevoz na posao, budući da na području sjedišta Škole nije bilo dovoljno stručnog kadra te je bilo potrebno zapošljavati djelatnike iz udaljenijih mjesta.</w:t>
      </w:r>
    </w:p>
    <w:p>
      <w:r>
        <w:t xml:space="preserve">Uvođenjem modularne nastave pojavila se povećana potreba za stručnim usavršavanjem nastavnika, kao i za provedbom Erasmus+ projekata. Istodobno je, zbog povećanja cijena energenata i ostalih materijalnih potreba, došlo do povećanja materijalnih rashoda poslovanja. Rashodi za usluge u prvih šest mjeseci također su značajno povećani uslijed rasta cijena usluga, dok su rashodi za zaposlene porasli zbog povećanja plaća.</w:t>
      </w:r>
    </w:p>
    <w:p>
      <w:r>
        <w:t xml:space="preserve">Rashodi za materijal i energiju povećani su za 39,7 %. Povećanje se odnosi na veće troškove uredskog materijala te materijala za čišćenje i održavanje, dok su rashodi za energiju ostali na razini prethodne godine zahvaljujući energetskoj obnovi Škole i postavljanju solarnih elektrana na zgradi.</w:t>
      </w:r>
    </w:p>
    <w:p>
      <w:r>
        <w:t xml:space="preserve">Materijal i dijelovi za tekuće i investicijsko održavanje povećani su za 719,6 % zbog dodatnog uređenja učionica za potrebe modularne nastave. Rashodi za sitni inventar nešto su manji u odnosu na isto razdoblje prethodne godine, dok su rashodi za radnu i zaštitnu odjeću povećani za 137,6 % zbog nabave zaštitne opreme za potrebe Erasmus+ projekta.</w:t>
      </w:r>
    </w:p>
    <w:p>
      <w:r>
        <w:t xml:space="preserve">Rashodi za usluge povećani su zbog rasta cijena usluga zbrinjavanja otpada i vodnih usluga za 33,10 %. Rashodi za promidžbu i informiranje povećani su za 409,8 % zbog aktivnosti usmjerenih na promociju Škole i upis novih učenika.</w:t>
      </w:r>
    </w:p>
    <w:p>
      <w:r>
        <w:t xml:space="preserve">Zdravstvene usluge povećane su za 20,6 % u odnosu na prethodnu godinu jer nije bilo moguće ugovoriti preglede u Općoj bolnici „Dr. Anđelko Višić“, već se na provedeni postupak javila isključivo Poliklinika Došen.</w:t>
      </w:r>
    </w:p>
    <w:p>
      <w:r>
        <w:t xml:space="preserve">Intelektualne usluge također su značajno povećane zbog izvanrednog događaja – smrti učenika, nakon čega je u Školi djelovao krizni tim čiji se rad financira iz državnog proračuna.</w:t>
      </w:r>
    </w:p>
    <w:p>
      <w:r>
        <w:t xml:space="preserve">Ostale usluge povećane su za 387,20 %, a odnose se na izradu brošura i tisak na majice. Zbog većeg iznosa odobrenih sredstava za Erasmus+ projekt povećane su i naknade osobama izvan radnog odnosa, budući da je veći broj učenika sudjelovao u mobilnostima.</w:t>
      </w:r>
    </w:p>
    <w:p>
      <w:r>
        <w:t xml:space="preserve">Ostali nespomenuti rashodi poslovanja povećani su zbog osiguranja dodatnog stroja – glodalice, plaćanja članarine za program Ekoškole, koju Škola prethodno nije plaćala, te nabave cvijeća za uređenje školskog prostora.</w:t>
      </w:r>
    </w:p>
    <w:p>
      <w:r>
        <w:t xml:space="preserve">U navedenom razdoblju nisu ostvareni prihodi od prodaje nefinancijske imovine, dok su rashodi za nabavu nefinancijske imovine ostvareni u iznosu od 24.020,92 eura.</w:t>
      </w:r>
    </w:p>
    <w:p>
      <w:r>
        <w:t xml:space="preserve">Navedeni rashodi odnose se na nabavu uredske opreme u iznosu od 2.774,99 eura, klima-uređaja za potrebe izvođenja praktične nastave u iznosu od 827,50 eura, mjernih uređaja u iznosu od 293,75 eura, fotoaparata s pripadajućom opremom za izvannastavne aktivnosti te kompleta alata za praktičnu nastavu u ukupnom iznosu od 3.074,66 eura, knjiga za školsku knjižnicu u iznosu od 270,02 eura te makete motora u iznosu od 16.780,00 eura.</w:t>
      </w:r>
    </w:p>
    <w:p>
      <w:r>
        <w:t xml:space="preserve">U izvještajnom razdoblju nije bilo primitaka niti izdataka od financijske imovine i zaduživanja.</w:t>
      </w:r>
    </w:p>
    <w:p>
      <w:r>
        <w:t xml:space="preserve">U razdoblju od 1. siječnja do 30. lipnja 2026. godine ostvaren je manjak prihoda poslovanja u iznosu od 62.305,37 eura, dok je manjak prihoda od nefinancijske imovine iznosio 38.284,45 eura. Nakon izvršene korekcije financijskog rezultata, na kraju izvještajnog razdoblja iskazan je ukupan manjak prihoda i primitaka u iznosu od 62.305,37 eura.</w:t>
      </w:r>
    </w:p>
    <w:p>
      <w:r>
        <w:t xml:space="preserve">Manjak poslovanja najvećim je dijelom posljedica računovodstvenog evidentiranja rashoda za plaće i ostala prava zaposlenih u razdoblju njihova nastanka, dok se prihod priznaje tek u trenutku isplate sredstava. Po toj osnovi iskazan je manjak u iznosu od 6.205,51 eura. Stoga je u prvih šest mjeseci evidentirano šest prihoda i šest rashoda, pri čemu se jedan ostvareni prihod odnosi na plaće i pripadajuća davanja za prosinac 2025. godine.</w:t>
      </w:r>
    </w:p>
    <w:p>
      <w:r>
        <w:t xml:space="preserve">Dio manjka odnosi se i na Erasmus+ projekt, kod kojeg se svi rashodi evidentiraju tijekom provedbe projekta, dok se prihod priznaje tek nakon završetka projekta te predaje i odobrenja završnog izvješća. Po toj osnovi iskazan je manjak u iznosu od 43.890,11 eura.</w:t>
      </w:r>
    </w:p>
    <w:p>
      <w:r>
        <w:t xml:space="preserve">Manjak sredstava za redovno poslovanje iz nadležnog proračuna iznosi 2.101,04 eura, dok je ostvaren višak općih prihoda i primitaka iz nadležnog proračuna u iznosu od 886,53 eura.</w:t>
      </w:r>
    </w:p>
    <w:p>
      <w:r>
        <w:t xml:space="preserve">Manjak prihoda poslovanja iz vlastitih sredstava u iznosu od 24.786,70 eura planira se pokriti viškom prihoda ostvarenim na kraju 2025. godine. Istodobno je ostvaren višak namjenskih prihoda od izdavanja prijepisa svjedodžbi u iznosu od 393,00 eura.</w:t>
      </w:r>
    </w:p>
    <w:p>
      <w:r>
        <w:t xml:space="preserve">Sukladno Odluci o raspodjeli rezultata za 2025. godinu provedena je korekcija financijskog rezultata u 2026. godini, kojom je manjak od nefinancijske imovine u iznosu od 24.081,75 eura pokriven viškom prihoda poslovanja. Nakon provedene raspodjele iskazan je manjak prihoda za prijenos u sljedeće izvještajno razdoblje u iznosu od 101.238,64 eura.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598.433,11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677.838,33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113,3</w:t>
            </w:r>
          </w:p>
        </w:tc>
      </w:tr>
    </w:tbl>
    <w:p>
      <w:pPr>
        <w:spacing w:before="0" w:after="0"/>
      </w:pPr>
    </w:p>
    <w:p>
      <w:r>
        <w:t xml:space="preserv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598.433,11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677.838,33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113,3</w:t>
            </w:r>
          </w:p>
        </w:tc>
      </w:tr>
    </w:tbl>
    <w:p>
      <w:pPr>
        <w:spacing w:before="0" w:after="0"/>
      </w:pPr>
    </w:p>
    <w:p>
      <w:r>
        <w:t xml:space="preserve">Zakon o plaćama u državnoj službi i javnim službama u NN 11/2026 doneslo je odluku o povećanju osnovice za obračun plaće zaposlenicima u javnim službama. Povećanje osnovice u tri navrata i to: povećanje osnovice sa 1004,87 eura na 1.015,00 eura za razdoblje od 1. travnja 2026. do 31. srpnja 2026. godine, 1.025,00 eura bruto za razdoblje od 1. kolovoza 2026. do 30. studenoga 2026. godine te 1.035,00 eura bruto za razdoblje od 1. prosinca 2026. do 31. prosinca 2026. godine.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2.005,30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3.392,12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169,2</w:t>
            </w:r>
          </w:p>
        </w:tc>
      </w:tr>
    </w:tbl>
    <w:p>
      <w:pPr>
        <w:spacing w:before="0" w:after="0"/>
      </w:pPr>
    </w:p>
    <w:p>
      <w:r>
        <w:t xml:space="preserve">Povećanje prihoda poslovanja Škola je ostvarila od Učeničkog servisa, sve veća je potražnja za rad učenika tijekom praznika.  Škola obavlja djelatnost srednjoškolskog obrazovanja te kao ovlašteni posrednik temeljem rješenja Ministarstva rada i mirovinskog sustava Kl:UP/I-102-02/14-01/03, Ur.broj:524-03-02-01/3-14-3 od 18. lipnja 2014.godine obavlja poslove posredovanja za povremeni rad redovnih učenika za vrijeme zimskog, proljetnog i ljetnog odmora. Učenici moraju biti polaznici srednjih škola u Bjelovarsko-bilogorskoj županiji. Prihodi se ostvaruju uplatama na temelju izlaznih faktura koje škola ispostavlja poslodavcima kod kojih učenik srednje škole radi. Zarada škole je 10% učenikove zarade.  Škola nije u sustavu PDV-a. Značajnije povećanje prihoda je iz nadležnog proračuna.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61.364,06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87.333,09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142,3</w:t>
            </w:r>
          </w:p>
        </w:tc>
      </w:tr>
    </w:tbl>
    <w:p>
      <w:pPr>
        <w:spacing w:before="0" w:after="0"/>
      </w:pPr>
    </w:p>
    <w:p>
      <w:r>
        <w:t xml:space="preserve">Prihod iz nadležnog proračuna znatno je povećan s obzirom da je došlo do povećanja cijena usluga komunalija, najam dvorane za tjelesnu i zdravstvenu kulturu obavlja se u dvorani u vlasništvu grada, te je cijena najma povećana za 3 puta.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40.474,14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49.244,73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121,7</w:t>
            </w:r>
          </w:p>
        </w:tc>
      </w:tr>
    </w:tbl>
    <w:p>
      <w:pPr>
        <w:spacing w:before="0" w:after="0"/>
      </w:pPr>
    </w:p>
    <w:p>
      <w:r>
        <w:t xml:space="preserve">Plaće za prekovremeni rad povećane su s obzirom na uvođenje modularne nastave, te nedostatak stručnog kadra.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7.319,64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12.956,35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177,0</w:t>
            </w:r>
          </w:p>
        </w:tc>
      </w:tr>
    </w:tbl>
    <w:p>
      <w:pPr>
        <w:spacing w:before="0" w:after="0"/>
      </w:pPr>
    </w:p>
    <w:p>
      <w:r>
        <w:t xml:space="preserve">Službena putovanja povećana su zbog uvođenja modularne nastave, te se je pojavila potreba za dodatnom edukacijom zaposlenika. Isto tako povećan je broj sudjelovanja na natjecanjima.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18.732,53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21.703,37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115,9</w:t>
            </w:r>
          </w:p>
        </w:tc>
      </w:tr>
    </w:tbl>
    <w:p>
      <w:pPr>
        <w:spacing w:before="0" w:after="0"/>
      </w:pPr>
    </w:p>
    <w:p>
      <w:r>
        <w:t xml:space="preserve">Povećanje rashoda odnosi se prvenstveno na naknade za prijevoz na posao, budući da na području sjedišta Škole nije bilo dovoljno stručnog kadra te je bilo potrebno zapošljavati djelatnike iz udaljenijih mjesta.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5.927,44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6.364,10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107,4</w:t>
            </w:r>
          </w:p>
        </w:tc>
      </w:tr>
    </w:tbl>
    <w:p>
      <w:pPr>
        <w:spacing w:before="0" w:after="0"/>
      </w:pPr>
    </w:p>
    <w:p>
      <w:r>
        <w:t xml:space="preserve">Uvođenjem modularne nastave pojavila se povećana potreba za stručnim usavršavanjem nastavnika, kao i za provedbom Erasmus+ projekata.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6.583,50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10.526,27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159,9</w:t>
            </w:r>
          </w:p>
        </w:tc>
      </w:tr>
    </w:tbl>
    <w:p>
      <w:pPr>
        <w:spacing w:before="0" w:after="0"/>
      </w:pPr>
    </w:p>
    <w:p>
      <w:r>
        <w:t xml:space="preserve">Povećana nabava uredskog materijala je posljedica povećanog obujma posla, dodatnog tiskanja dodatne dokumentacije zbog uvođenja modularne nastave, te materijala za odlaganje dokumentacije, tonera, ali i povećanja cijena materijala.  Materijal za čišćenje i održavanje povećan je zbog renovacije i obnove same Škole.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2.043,26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261,3</w:t>
            </w:r>
          </w:p>
        </w:tc>
      </w:tr>
    </w:tbl>
    <w:p>
      <w:pPr>
        <w:spacing w:before="0" w:after="0"/>
      </w:pPr>
    </w:p>
    <w:p>
      <w:r>
        <w:t xml:space="preserve">Povećanje rashoda za nabavu namirnica za međužupanijsko natjecanje, te zelena akcija za Dan škole , ugošćivanje za posjet sudionika Erasmus+ programa.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3.721,26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719,6</w:t>
            </w:r>
          </w:p>
        </w:tc>
      </w:tr>
    </w:tbl>
    <w:p>
      <w:pPr>
        <w:spacing w:before="0" w:after="0"/>
      </w:pPr>
    </w:p>
    <w:p>
      <w:r>
        <w:t xml:space="preserve">Materijal i dijelovi za tekuće i investicijsko održavanje povećani su za 719,6 % zbog dodatnog uređenja učionica za potrebe modularne nastave.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137,6</w:t>
            </w:r>
          </w:p>
        </w:tc>
      </w:tr>
    </w:tbl>
    <w:p>
      <w:pPr>
        <w:spacing w:before="0" w:after="0"/>
      </w:pPr>
    </w:p>
    <w:p>
      <w:r>
        <w:t xml:space="preserve">Rashodi za radnu i zaštitnu odjeću povećani za 137,6 % zbog nabave zaštitne opreme za potrebe Erasmus+ projekta.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1.183,80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1.313,06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110,9</w:t>
            </w:r>
          </w:p>
        </w:tc>
      </w:tr>
    </w:tbl>
    <w:p>
      <w:pPr>
        <w:spacing w:before="0" w:after="0"/>
      </w:pPr>
    </w:p>
    <w:p>
      <w:r>
        <w:t xml:space="preserve">telefonske usluge ostale su nepromijenjene, ali su poštanske usluge povećane zbog promjene cijene poštanskih usluga.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409,8</w:t>
            </w:r>
          </w:p>
        </w:tc>
      </w:tr>
    </w:tbl>
    <w:p>
      <w:pPr>
        <w:spacing w:before="0" w:after="0"/>
      </w:pPr>
    </w:p>
    <w:p>
      <w:r>
        <w:t xml:space="preserve">Rashodi za promidžbu i informiranje povećani su zbog aktivnosti usmjerenih na promociju Škole i upis novih učenika.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3.075,30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4.094,11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133,1</w:t>
            </w:r>
          </w:p>
        </w:tc>
      </w:tr>
    </w:tbl>
    <w:p>
      <w:pPr>
        <w:spacing w:before="0" w:after="0"/>
      </w:pPr>
    </w:p>
    <w:p>
      <w:r>
        <w:t xml:space="preserve">Rashodi za usluge povećani su zbog rasta cijena usluga zbrinjavanja otpada i vodnih usluga.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2.219,15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7.167,58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323,0</w:t>
            </w:r>
          </w:p>
        </w:tc>
      </w:tr>
    </w:tbl>
    <w:p>
      <w:pPr>
        <w:spacing w:before="0" w:after="0"/>
      </w:pPr>
    </w:p>
    <w:p>
      <w:r>
        <w:t xml:space="preserve">Povećani rashod  najma dvorane za tjelesnu i zdravstvenu kulturu koji se odvija u dvorani u vlasništvu Grada, te je cijena najma povećana za 3 puta. </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3.527,13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120,6</w:t>
            </w:r>
          </w:p>
        </w:tc>
      </w:tr>
    </w:tbl>
    <w:p>
      <w:pPr>
        <w:spacing w:before="0" w:after="0"/>
      </w:pPr>
    </w:p>
    <w:p>
      <w:r>
        <w:t xml:space="preserve">Zdravstvene usluge povećane su za 20,6 % u odnosu na prethodnu godinu jer nije bilo moguće ugovoriti preglede u Općoj bolnici „Dr. Anđelko Višić“, već se na provedeni postupak javila isključivo Poliklinika Došen.</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3.611,15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6762,5</w:t>
            </w:r>
          </w:p>
        </w:tc>
      </w:tr>
    </w:tbl>
    <w:p>
      <w:pPr>
        <w:spacing w:before="0" w:after="0"/>
      </w:pPr>
    </w:p>
    <w:p>
      <w:r>
        <w:t xml:space="preserve">Intelektualne usluge također su značajno povećane zbog izvanrednog događaja – smrti učenika, nakon čega je u Školi djelovao krizni tim čiji se rad financira iz državnog proračuna.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865,48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387,2</w:t>
            </w:r>
          </w:p>
        </w:tc>
      </w:tr>
    </w:tbl>
    <w:p>
      <w:pPr>
        <w:spacing w:before="0" w:after="0"/>
      </w:pPr>
    </w:p>
    <w:p>
      <w:r>
        <w:t xml:space="preserve">Ostale usluge povećane su za 387,20 %, a odnose se na izradu brošura i tisak na majice. Zbog većeg iznosa odobrenih sredstava za Erasmus+ projekt. </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14.213,33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31.422,29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221,1</w:t>
            </w:r>
          </w:p>
        </w:tc>
      </w:tr>
    </w:tbl>
    <w:p>
      <w:pPr>
        <w:spacing w:before="0" w:after="0"/>
      </w:pPr>
    </w:p>
    <w:p>
      <w:r>
        <w:t xml:space="preserve">Povećane su naknade osobama izvan radnog odnosa, budući da je veći broj učenika sudjelovao u mobilnostima.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443,88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548,32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123,5</w:t>
            </w:r>
          </w:p>
        </w:tc>
      </w:tr>
    </w:tbl>
    <w:p>
      <w:pPr>
        <w:spacing w:before="0" w:after="0"/>
      </w:pPr>
    </w:p>
    <w:p>
      <w:r>
        <w:t xml:space="preserve">Ostali nespomenuti rashodi poslovanja povećani su zbog osiguranja dodatnog stroja – glodalica.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337,1</w:t>
            </w:r>
          </w:p>
        </w:tc>
      </w:tr>
    </w:tbl>
    <w:p>
      <w:pPr>
        <w:spacing w:before="0" w:after="0"/>
      </w:pPr>
    </w:p>
    <w:p>
      <w:r>
        <w:t xml:space="preserve">Plaćanja članarine za program Ekoškole.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dan 30. lipnja 2026. godine iznosi 292.544,23 eura.</w:t>
      </w:r>
    </w:p>
    <w:p>
      <w:r>
        <w:t xml:space="preserve">Obveze se odnose na nedospjele obveze za:</w:t>
      </w:r>
    </w:p>
    <w:p>
      <w:r>
        <w:t xml:space="preserve">isplatu plaće za lipanj 2026. godine u iznosu od 96.938,55 eura,</w:t>
      </w:r>
      <w:r>
        <w:br/>
      </w:r>
      <w:r>
        <w:t xml:space="preserve">naknadu za neiskorišteni godišnji odmor za lipanj 2026. godine u iznosu od 2.457,40 eura,</w:t>
      </w:r>
      <w:r>
        <w:br/>
      </w:r>
      <w:r>
        <w:t xml:space="preserve">plaću pomoćnika u nastavi u iznosu od 1.376,46 eura,</w:t>
      </w:r>
      <w:r>
        <w:br/>
      </w:r>
      <w:r>
        <w:t xml:space="preserve">plaću e-tehničara u iznosu od 289,98 eura,</w:t>
      </w:r>
      <w:r>
        <w:br/>
      </w:r>
      <w:r>
        <w:t xml:space="preserve">naknadu za prijevoz zaposlenika u iznosu od 4.017,61 eura,</w:t>
      </w:r>
      <w:r>
        <w:br/>
      </w:r>
      <w:r>
        <w:t xml:space="preserve">ugovore o djelu u iznosu od 3.611,15 eura,</w:t>
      </w:r>
      <w:r>
        <w:br/>
      </w:r>
      <w:r>
        <w:t xml:space="preserve">redovno poslovanje po ispostavljenim računima u iznosu od 22.469,60 eura,</w:t>
      </w:r>
      <w:r>
        <w:br/>
      </w:r>
      <w:r>
        <w:t xml:space="preserve">međusobne obveze subjekata općeg proračuna prema HZZO-u u iznosu od 1.824,23 eura te</w:t>
      </w:r>
      <w:r>
        <w:br/>
      </w:r>
      <w:r>
        <w:t xml:space="preserve">prefakturiranje troškova plina i električne energije u iznosu od 466,45 eura.</w:t>
      </w:r>
      <w:r>
        <w:br/>
      </w:r>
      <w:r>
        <w:t xml:space="preserve">U obvezama su evidentirane i obveze za primljene predujmove po projektima mobilnosti u iznosu od 159.092,80 eura.</w:t>
      </w:r>
    </w:p>
    <w:p/>
    <w:p>
      <w:pPr>
        <w:jc w:val="center"/>
        <w:pStyle w:val="Normal"/>
        <w:spacing w:line="240" w:lineRule="auto"/>
        <w:keepNext/>
      </w:pPr>
      <w:r>
        <w:rPr>
          <w:sz w:val="28"/>
          <w:rFonts w:ascii="Times New Roman" w:hAnsi="Times New Roman"/>
        </w:rPr>
        <w:t xml:space="preserve">Bilješka 25.</w:t>
      </w:r>
    </w:p>
    <w:p>
      <w:pPr>
        <w:jc w:val="both"/>
        <w:pStyle w:val="Normal"/>
        <w:spacing w:line="240" w:lineRule="auto"/>
      </w:pPr>
      <w:r>
        <w:rPr>
          <w:b/>
          <w:sz w:val="24"/>
          <w:rFonts w:ascii="Times New Roman" w:hAnsi="Times New Roman"/>
        </w:rPr>
        <w:t xml:space="preserve">EU izvještaj</w:t>
      </w:r>
    </w:p>
    <w:p>
      <w:r>
        <w:t xml:space="preserve">EU izvještaj</w:t>
      </w:r>
    </w:p>
    <w:p>
      <w:r>
        <w:t xml:space="preserve">U razdoblju od 01.01.-30.06.2026. Škola ima Erasmus projekt "Obrtnici za budućnost" , projekt je odobren u iznosu od =65.747,00 eura , sredstva su uplaćena u srpnju 2025. godine u iznosu od =52.597,60 eura.  Vrijeme trajanje projekta kada treba predati završno izvješće je 31.08.2026., te kada će se priznati prihod, jer sredstva koja smo dobili evidentiramo na  Obveze za EU predujmove, a tromjesjećno evidentiramo potraživanja i  tekuće pomoći iz državnog proračuna. Ukupni rashodi ostvareni u 2025 i 2026. godini po ovom projektu iznose = 57.999,12 eura, s tim da je u 2026. god.rashod iznosi =43.890,11 eur. Ovaj projekt evidentira se na izvoru 510 Program unije.</w:t>
      </w:r>
    </w:p>
    <w:p>
      <w:r>
        <w:t xml:space="preserve">U lipnju 2026. godine odobren nam je novi Erasmus+ projekt u iznosu od 133.119,00 eura, sredstva su nam doznačena u lipnju 2026. godine. u iznosu od 106.495,20 eura. IV. projekt mobilnosti mora se završiti do 31.08.2027. godine. Uplata je knjižena na kto 275210 - Obveze za EU predujumove dane od subjekta unutar općeg proračuna. </w:t>
      </w:r>
    </w:p>
    <w:p>
      <w:r>
        <w:t xml:space="preserve">Pojavila se potreba za zapošljavanjem pomoćnika u nastavi od 01.09.2025. godine. Sredstva kojima se financira pomoćnik u nastavi osigurana su iz nadležnog proračuna i to po tri izvora financiranja, jedan od izvora je 561 - Europski socijalni fond plus u iznosu od =5.686,94 eura.              </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0c5b6b68d464d29" /></Relationships>
</file>