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AE" w:rsidRDefault="00B147AE" w:rsidP="00B147AE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129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07.11.2008.</w:t>
      </w:r>
      <w:bookmarkStart w:id="0" w:name="_GoBack"/>
      <w:bookmarkEnd w:id="0"/>
    </w:p>
    <w:p w:rsidR="00B147AE" w:rsidRDefault="00B147AE" w:rsidP="00B147AE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ŠPORTA</w:t>
      </w:r>
    </w:p>
    <w:p w:rsidR="00B147AE" w:rsidRDefault="00B147AE" w:rsidP="00B147AE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3707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Na temelju članka 12. stavka 2. Zakona o obrazovanju odraslih (»Narodne novine«, broj 17/07), ministar znanosti, obrazovanja i športa donosi</w:t>
      </w:r>
    </w:p>
    <w:p w:rsidR="00B147AE" w:rsidRDefault="00B147AE" w:rsidP="00B147AE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B147AE" w:rsidRDefault="00B147AE" w:rsidP="00B147AE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JAVNIM ISPRAVAMA U OBRAZOVANJU ODRASLIH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1.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propisuje se naziv, sadržaj i oblik javnih isprava za odrasle u stjecanju srednje školske i srednje stručne spreme, prekvalifikaciji, usavršavanju, stjecanju niže stručne spreme, osposobljavanju i u osnovnoškolskom školovanju.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(2) Javne isprave su: razredne svjedodžbe, svjedodžba o maturi, svjedodžba o završnom ispitu u strukovnim i umjetničkim programima, svjedodžba o položenim predmetnim ispitima, svjedodžba o prekvalifikaciji, uvjerenja o usavršavanju i osposobljavanju, svjedodžba o znanju stranog jezika te svjedodžbe o završenim razredima odnosno obrazovnim razdobljima u osnovnoškolskom školovanju.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Javne isprave iz članka 1. stavka 2. ovog pravilnika sadrže: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naziv i sjedište škole odnosno ustanove za obrazovanje odraslih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klasifikacijsku oznaku i datum izdavanja isprave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matični broj polaznika (broj iz Matične knjige polaznika); ime, prezime i spol polaznika; datum, mjesto i državu rođenja; državljanstvo; ime roditelja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naziv programa obrazovanja odraslih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ime i prezime te potpis razrednika odnosno voditelja obrazovne skupine i ravnatelja škole odnosno ustanove za obrazovanje odraslih, te mjesto za pečat škole odnosno ustanove za obrazovanje odraslih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klasifikacijsku oznaku i datum izdanog rješenja o odobrenju za izvođenje programa.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Osim podataka iz članka 2. ovog pravilnika, razredna svjedodžba sadrži i podatke o godini odnosno razini obrazovanja (razred, obrazovno razdoblje), nastavnim predmetima i postignutom uspjehu polaznika, i to: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datum upisa polaznika u program obrazovanja za koji se izdaje svjedodžba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trajanje obrazovanja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puni naziv nastavnog predmeta i prostor za upis ocjene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prostor za upis izbornih i fakultativnih nastavnih predmeta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prostor za upis ocjene općeg uspjeha polaznika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tekst: »Ocjene za uspjeh: odličan (5), vrlo dobar (4), dobar (3), dovoljan (2), nedovoljan (1).«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(1) Osim podataka iz članka 2. ovog pravilnika, svjedodžba o maturi te svjedodžba o završnom ispitu sadrže i podatke o početku i trajanju obrazovanja, te o dijelovima mature odnosno završnog ispita i postignutom uspjehu polaznika, i to: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stečena naobrazba i temelj za upis u program obrazovanja (program za zanimanje) odnosno gimnaziju (vrsta gimnazije)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datum početka obrazovanja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datum stečenih uvjeta za polaganje mature odnosno završnog ispita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razdoblje polaganja mature odnosno završnog ispita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nazive dijelova mature odnosno završnog ispita i prostor za upis postignutog uspjeha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prostor za upis općeg uspjeha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prostor za upis stečene školske odnosno stručne spreme i naziva programa obrazovanja za zanimanje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tekst zakonske osnove za oslobađanje od polaganja mature odnosno završnog ispita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tekst: »Ocjene za uspjeh: odličan (5), vrlo dobar (4), dobar (3), dovoljan (2).«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U svjedodžbu o maturi te svjedodžbu o završnom ispitu za prekvalifikaciju upisuje se i tekst: »Nakon prethodno završenog programa obrazovanja za (naziv zanimanja) i položenih ispita koji su utvrđeni odlukom o priznavanju i razlikama ispita (Klasa; </w:t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; datum), polaznik je (datum) stekao uvjete za polaganje završnog ispita.«.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Osim podataka iz članka 2. ovog pravilnika, svjedodžba o položenim predmetnim ispitima sadrži i podatke po razini (godini) obrazovanja (razredu), nastavnim predmetima i postignutom uspjehu polaznika, i to: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razdoblje polaganja ispita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prostor za upis nastavnih predmeta i prostor za upis ocjene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tekst: »Ocjene za uspjeh: odličan (5), vrlo dobar (4), dobar (3), dovoljan (2).«.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Osim podataka iz članka 2. ovog pravilnika, uvjerenje o usavršavanju sadrži i: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podatke o stečenoj naobrazbi i osnovi za upis u program usavršavanja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naziv programa usavršavanja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trajanje programa usavršavanja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nastavne sadržaje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datum završne provjere iz nastavnih sadržaja.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Osim podataka iz članka 2. ovog pravilnika, uvjerenje o osposobljavanju sadrži i: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podatke o stečenoj naobrazbi i osnovi za upis u program osposobljavanja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naziv programa osposobljavanja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trajanje programa osposobljavanja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nastavne sadržaje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datum završne provjere iz nastavnih sadržaja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naziv poslova za koje je polaznik osposobljen.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(1) Osim podataka iz članka 2. ovog pravilnika, svjedodžba o znanju stranog jezika sadrži i podatke o nazivu jezika i stupnju, i to: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naziv jezika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stupanj učenja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razdoblje učenja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dijelove ispita i datum polaganja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završnu ocjenu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tekst: »Oznake stupnjeva: A1 (pripremni stupanj), A2 (temeljni stupanj), B1 (prijelazni stupanj), B2 (samostalni stupanj), C1 (napredni stupanj), C2 (vrsni stupanj).«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tekst: »Ocjene za uspjeh: odličan (5), vrlo dobar (4), dobar (3), dovoljan (2).«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(2) Na poleđini svjedodžbe otisnuta je tablica stupnjeva s opisom ishoda učenja.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(1) Osnovni oblici javnih isprava iz članka 1. ovog pravilnika tiskani su na obrascima od broja 0-O do 21-O i čine sastavni dio ovog pravilnika, i to: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1. svjedodžba o osnovnoškolskom obrazovanju na obrascu broj 0-O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2. razredne svjedodžbe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gimnazije na obrascu broj 1-O,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četverogodišnje strukovne programe na obrascu broj 2-O,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glazbene programe na obrascu broj 3-O,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baletno-plesne programe na obrascu broj 4-O,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trogodišnje strukovne programe na obrascu broj 5-O,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trogodišnje obrtničke programe po jedinstvenom modelu obrazovanja na obrascu broj 6-O,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strukovne programe u trajanju od tri do četiri godine na obrascu broj 7-O,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programe za stjecanje niže stručne spreme na obrascu broj 8-O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3. svjedodžbe o maturi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nakon školovanja na obrascu broj 9-O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nakon prekvalifikacije na obrascu broj 10-O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4. svjedodžbe o završnom ispitu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četverogodišnje strukovne, glazbene i baletno-plesne programe nakon školovanja na obrascu broj 11-O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četverogodišnje strukovne, glazbene i baletno-plesne programe nakon prekvalifikacije na obrascu broj 12-O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za trogodišnje strukovne programe nakon školovanja na obrascu broj 13-O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trogodišnje strukovne programe nakon prekvalifikacije na obrascu broj 14-O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strukovne programe u trajanju od tri do četiri godine nakon školovanja na obrascu broj 15-O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strukovne programe u trajanju od tri do četiri godine nakon prekvalifikacije na obrascu broj 16-O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– za programe za stjecanje niže stručne spreme na obrascu broj 17-O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5. svjedodžba o položenim predmetnim ispitima na obrascu broj 18-O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6. uvjerenje o usavršavanju na obrascu broj 19-O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7. uvjerenje o osposobljavanju na obrascu broj 20-O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8. svjedodžba o znanju stranog jezika na obrascu broj 21-O.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(2) Obrasci javnih isprava mogu se primjereno grafički oblikovati za pojedine vrste škola (ustanova) i programa obrazovanja sukladno sadržajima iz članka 2. ovog pravilnika, bez upisanih naziva nastavnih predmeta, a škole odnosno ustanove koje imaju mogućnost elektroničkog ispisa mogu ih popuniti podacima sukladno sadržajima od članka 3. do 8. ovoga pravilnika.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Obrasci javnih isprava iz članka 9. ovoga pravilnika tiskaju se na specijalnom </w:t>
      </w:r>
      <w:proofErr w:type="spellStart"/>
      <w:r>
        <w:rPr>
          <w:color w:val="000000"/>
        </w:rPr>
        <w:t>neizbijeljenom</w:t>
      </w:r>
      <w:proofErr w:type="spellEnd"/>
      <w:r>
        <w:rPr>
          <w:color w:val="000000"/>
        </w:rPr>
        <w:t xml:space="preserve"> papiru težine devedeset grama po metru četvornom (90 gr/m2), dimenzije 21 x 29,7 cm, na podlozi u svijetloplavoj boji s tekstualnim dijelovima u crnoj boji.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11.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(1) Radi sprječavanja zlouporabe i zaštite javne isprave od pokušaja mehaničkog ili kemijskog brisanja upisanih podataka, obrasci za javne isprave tiskaju se na papiru koji je kemijski reaktivan (4T zaštita –</w:t>
      </w:r>
      <w:r>
        <w:rPr>
          <w:color w:val="000000"/>
        </w:rPr>
        <w:br/>
        <w:t>kemijska zaštita) tako da pri pokušaju brisanja mijenja boju.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(2) U strukturu papira ugrađena su vlakanca vidljiva pod UV svjetlom, a u papir je ugrađen vodeni znak izveden u njegovoj strukturi s pravilnim razmacima slike znaka u dva tona.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(3) Po cijeloj širini obrazaca javnih isprava, ispod donjeg ruba pletera, ugrađuje se vidljiva isprekidana metalna traka kojom se sprječava njihovo vjerodostojno skeniranje ili fotokopiranje.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12.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(1) Svi obrasci javnih isprava naslovljeni su riječima »REPUBLIKA HRVATSKA« tiskanim u crnoj boji i obrubljeni su starohrvatskim pleterom.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U sredini obrasca je utisnut grb Republike Hrvatske tamnije boje od boje podloge obrasca. Tisak grba i zaštitnih neprekinutih linija izveden je u programu za crtanje zaštitnih krivulja.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13.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(1) Obrasci javnih isprava tiskani su na hrvatskom jeziku i latiničnom pismu.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(2) Za pripadnike nacionalnih manjina koji imaju nastavu na jeziku i pismu manjine, obrasci javnih isprava tiskaju se dvojezično, na hrvatskom jeziku i latiničnom pismu te na jeziku i pismu nacionalne manjine.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14.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Podaci u javnim ispravama upisuju se rukom, elektronički (pisačem) ili pisaćim strojem.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15.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Naziv škole odnosno ustanove za obrazovanje odraslih, ime i prezime polaznika, ime roditelja, nazivi mjesta i država, te nazivi nastavnih predmeta, programa obrazovanja i zanimanja, upisuju se u nominativu.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16.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Javne isprave iz članka 1. ovog pravilnika mogu izdavati osnovne i srednje škole, škole stranih jezika i druge ustanove koje imaju odobrenje Ministarstva znanosti, obrazovanja i športa za obavljanje djelatnosti obrazovanja odraslih i izdavanje javnih isprava.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17.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(1) Obrasci javnih isprava navedeni od broja 0-O do 21-O u članku 9. ovog pravilnika ne stavljaju se u slobodnu prodaju. Škole i druge ustanove koje imaju odobrenje za izvođenje programa obrazovanja odraslih naručuju ih neposredno od izdavača.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(2) Postupak pohranjivanja i zaštite obrazaca javnih isprava te uništavanja pogrešno popunjenih obrazaca utvrđuje ravnatelj ustanove.</w:t>
      </w:r>
    </w:p>
    <w:p w:rsidR="00B147AE" w:rsidRDefault="00B147AE" w:rsidP="00B147AE">
      <w:pPr>
        <w:pStyle w:val="clanak"/>
        <w:jc w:val="center"/>
        <w:rPr>
          <w:color w:val="000000"/>
        </w:rPr>
      </w:pPr>
      <w:r>
        <w:rPr>
          <w:color w:val="000000"/>
        </w:rPr>
        <w:t>Članak 18.</w:t>
      </w:r>
    </w:p>
    <w:p w:rsidR="00B147AE" w:rsidRDefault="00B147AE" w:rsidP="00B147AE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 dana od dana objave u »Narodnim novinama«.</w:t>
      </w:r>
    </w:p>
    <w:p w:rsidR="00B147AE" w:rsidRDefault="00B147AE" w:rsidP="00B147AE">
      <w:pPr>
        <w:pStyle w:val="klasa2"/>
        <w:jc w:val="both"/>
        <w:rPr>
          <w:color w:val="000000"/>
        </w:rPr>
      </w:pPr>
      <w:r>
        <w:rPr>
          <w:color w:val="000000"/>
        </w:rPr>
        <w:t>Klasa: 602-07/08-03/00034</w:t>
      </w:r>
    </w:p>
    <w:p w:rsidR="00B147AE" w:rsidRDefault="00B147AE" w:rsidP="00B147AE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533-09-08-01</w:t>
      </w:r>
    </w:p>
    <w:p w:rsidR="00B147AE" w:rsidRDefault="00B147AE" w:rsidP="00B147AE">
      <w:pPr>
        <w:pStyle w:val="klasa2"/>
        <w:jc w:val="both"/>
        <w:rPr>
          <w:color w:val="000000"/>
        </w:rPr>
      </w:pPr>
      <w:r>
        <w:rPr>
          <w:color w:val="000000"/>
        </w:rPr>
        <w:t>Zagreb, 20. listopada 2008.</w:t>
      </w:r>
    </w:p>
    <w:p w:rsidR="00B147AE" w:rsidRDefault="00B147AE" w:rsidP="00B147AE">
      <w:pPr>
        <w:pStyle w:val="t-9-8-potpis"/>
        <w:ind w:left="6827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prof. 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>. Dragan Primorac,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095500" cy="3028950"/>
            <wp:effectExtent l="0" t="0" r="0" b="0"/>
            <wp:docPr id="22" name="Slika 22" descr="http://narodne-novine.nn.hr/clanci/sluzbeni/dodatni/315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31500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085975" cy="3019425"/>
            <wp:effectExtent l="0" t="0" r="9525" b="9525"/>
            <wp:docPr id="21" name="Slika 21" descr="http://narodne-novine.nn.hr/clanci/sluzbeni/dodatni/315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31500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076450" cy="3000375"/>
            <wp:effectExtent l="0" t="0" r="0" b="9525"/>
            <wp:docPr id="20" name="Slika 20" descr="http://narodne-novine.nn.hr/clanci/sluzbeni/dodatni/315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odne-novine.nn.hr/clanci/sluzbeni/dodatni/31501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085975" cy="3019425"/>
            <wp:effectExtent l="0" t="0" r="9525" b="9525"/>
            <wp:docPr id="19" name="Slika 19" descr="http://narodne-novine.nn.hr/clanci/sluzbeni/dodatni/315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rodne-novine.nn.hr/clanci/sluzbeni/dodatni/3150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085975" cy="3019425"/>
            <wp:effectExtent l="0" t="0" r="9525" b="9525"/>
            <wp:docPr id="18" name="Slika 18" descr="http://narodne-novine.nn.hr/clanci/sluzbeni/dodatni/315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rodne-novine.nn.hr/clanci/sluzbeni/dodatni/31501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085975" cy="3019425"/>
            <wp:effectExtent l="0" t="0" r="9525" b="9525"/>
            <wp:docPr id="17" name="Slika 17" descr="http://narodne-novine.nn.hr/clanci/sluzbeni/dodatni/315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rodne-novine.nn.hr/clanci/sluzbeni/dodatni/31501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085975" cy="3019425"/>
            <wp:effectExtent l="0" t="0" r="9525" b="9525"/>
            <wp:docPr id="16" name="Slika 16" descr="http://narodne-novine.nn.hr/clanci/sluzbeni/dodatni/315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rodne-novine.nn.hr/clanci/sluzbeni/dodatni/31502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095500" cy="3028950"/>
            <wp:effectExtent l="0" t="0" r="0" b="0"/>
            <wp:docPr id="15" name="Slika 15" descr="http://narodne-novine.nn.hr/clanci/sluzbeni/dodatni/315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rodne-novine.nn.hr/clanci/sluzbeni/dodatni/31502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095500" cy="3028950"/>
            <wp:effectExtent l="0" t="0" r="0" b="0"/>
            <wp:docPr id="14" name="Slika 14" descr="http://narodne-novine.nn.hr/clanci/sluzbeni/dodatni/315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rodne-novine.nn.hr/clanci/sluzbeni/dodatni/31502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095500" cy="3028950"/>
            <wp:effectExtent l="0" t="0" r="0" b="0"/>
            <wp:docPr id="13" name="Slika 13" descr="http://narodne-novine.nn.hr/clanci/sluzbeni/dodatni/315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rodne-novine.nn.hr/clanci/sluzbeni/dodatni/31502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095500" cy="3028950"/>
            <wp:effectExtent l="0" t="0" r="0" b="0"/>
            <wp:docPr id="12" name="Slika 12" descr="http://narodne-novine.nn.hr/clanci/sluzbeni/dodatni/315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rodne-novine.nn.hr/clanci/sluzbeni/dodatni/31500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095500" cy="3028950"/>
            <wp:effectExtent l="0" t="0" r="0" b="0"/>
            <wp:docPr id="11" name="Slika 11" descr="http://narodne-novine.nn.hr/clanci/sluzbeni/dodatni/315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rodne-novine.nn.hr/clanci/sluzbeni/dodatni/31500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085975" cy="3019425"/>
            <wp:effectExtent l="0" t="0" r="9525" b="9525"/>
            <wp:docPr id="10" name="Slika 10" descr="http://narodne-novine.nn.hr/clanci/sluzbeni/dodatni/315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rodne-novine.nn.hr/clanci/sluzbeni/dodatni/31500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105025" cy="3048000"/>
            <wp:effectExtent l="0" t="0" r="9525" b="0"/>
            <wp:docPr id="9" name="Slika 9" descr="http://narodne-novine.nn.hr/clanci/sluzbeni/dodatni/315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rodne-novine.nn.hr/clanci/sluzbeni/dodatni/31500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105025" cy="3048000"/>
            <wp:effectExtent l="0" t="0" r="9525" b="0"/>
            <wp:docPr id="8" name="Slika 8" descr="http://narodne-novine.nn.hr/clanci/sluzbeni/dodatni/315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rodne-novine.nn.hr/clanci/sluzbeni/dodatni/31500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105025" cy="3048000"/>
            <wp:effectExtent l="0" t="0" r="9525" b="0"/>
            <wp:docPr id="7" name="Slika 7" descr="http://narodne-novine.nn.hr/clanci/sluzbeni/dodatni/315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rodne-novine.nn.hr/clanci/sluzbeni/dodatni/315009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114550" cy="3038475"/>
            <wp:effectExtent l="0" t="0" r="0" b="9525"/>
            <wp:docPr id="6" name="Slika 6" descr="http://narodne-novine.nn.hr/clanci/sluzbeni/dodatni/315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rodne-novine.nn.hr/clanci/sluzbeni/dodatni/315010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105025" cy="3038475"/>
            <wp:effectExtent l="0" t="0" r="9525" b="9525"/>
            <wp:docPr id="5" name="Slika 5" descr="http://narodne-novine.nn.hr/clanci/sluzbeni/dodatni/315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rodne-novine.nn.hr/clanci/sluzbeni/dodatni/31501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105025" cy="3048000"/>
            <wp:effectExtent l="0" t="0" r="9525" b="0"/>
            <wp:docPr id="4" name="Slika 4" descr="http://narodne-novine.nn.hr/clanci/sluzbeni/dodatni/315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rodne-novine.nn.hr/clanci/sluzbeni/dodatni/31501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114550" cy="3057525"/>
            <wp:effectExtent l="0" t="0" r="0" b="9525"/>
            <wp:docPr id="3" name="Slika 3" descr="http://narodne-novine.nn.hr/clanci/sluzbeni/dodatni/315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rodne-novine.nn.hr/clanci/sluzbeni/dodatni/31501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085975" cy="3019425"/>
            <wp:effectExtent l="0" t="0" r="9525" b="9525"/>
            <wp:docPr id="2" name="Slika 2" descr="http://narodne-novine.nn.hr/clanci/sluzbeni/dodatni/315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arodne-novine.nn.hr/clanci/sluzbeni/dodatni/315015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124075" cy="3067050"/>
            <wp:effectExtent l="0" t="0" r="9525" b="0"/>
            <wp:docPr id="1" name="Slika 1" descr="http://narodne-novine.nn.hr/clanci/sluzbeni/dodatni/315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rodne-novine.nn.hr/clanci/sluzbeni/dodatni/315016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AE" w:rsidRDefault="00B147AE" w:rsidP="00B147AE">
      <w:pPr>
        <w:pStyle w:val="t-12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OPIS ISHODA UČENJA PO STUPNJEVIMA</w:t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RAZUMIJEVANJE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Slušanje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A1: Mogu razumjeti poznate riječi i osnovne fraze koje se odnose na mene, moju obitelj i neposrednu konkretnu okolinu, ako sugovornik govori polako i razgovijetno.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A 2: Mogu razumjeti fraze i najčešće korištene riječi iz područja neposrednog osobnog interesa (npr. jednostavne podatke o sebi i obitelji, informacije vezane uz kupovanje, neposrednu okolinu, posao).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lastRenderedPageBreak/>
        <w:t>Mogu shvatiti osnovno značenje kratkih, jasnih i jednostavnih poruka i javnih obavijesti.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B 1: Mogu razumjeti glavne misli jasnog standardnog razgovora o poznatim temama s kojima se redovito susrećem na poslu, u </w:t>
      </w:r>
      <w:proofErr w:type="spellStart"/>
      <w:r>
        <w:rPr>
          <w:color w:val="000000"/>
        </w:rPr>
        <w:t>škoti</w:t>
      </w:r>
      <w:proofErr w:type="spellEnd"/>
      <w:r>
        <w:rPr>
          <w:color w:val="000000"/>
        </w:rPr>
        <w:t>, u slobodno vrijeme itd. Mogu razumjeti glavne poruke mnogih radijskih i televizijskih programa o tekućim događajima ili temama od osobnog i profesionalnog interesa ako su iskazane relativno polako i razumljivo.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B 2: Mogu razumjeti duže govore i predavanja te pratiti čak i složenu argumentaciju ako mi je tema barem donekle poznata.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razumjeti veći dio TV vijesti i programa koji se bave tekućim događajima. Mogu razumjeti većinu filmova na standardnom jeziku.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C 1: Mogu razumjeti dugačak govor čak i kad nije jasno strukturiran i kad veze medu rečenicama nisu jasno iskazane, već se samo podrazumijevaju. Mogu bez prevelika napora razumjeti televizijske programe i filmove.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C 2: Nemam poteškoća u razumijevanju bilo koje varijante govornog jezika, bilo u izravnoj komunikaciji, </w:t>
      </w:r>
      <w:proofErr w:type="spellStart"/>
      <w:r>
        <w:rPr>
          <w:color w:val="000000"/>
        </w:rPr>
        <w:t>bito</w:t>
      </w:r>
      <w:proofErr w:type="spellEnd"/>
      <w:r>
        <w:rPr>
          <w:color w:val="000000"/>
        </w:rPr>
        <w:t xml:space="preserve"> preko medija, čak ni kad se govori brzinom izvornog govornika, uz uvjet da imam vremena prilagoditi se određenom naglasku.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Čitanje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A 1: Mogu prepoznati poznata imena, riječi i vrlo jednostavne rečenice, npr. na oglasima postavljenim na javnim mjestima, plakatima ili u katalozima.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A 2: Mogu čitati vrlo kratke, jednostavne tekstove.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pronaći određenu, predvidivu informaciju u jednostavnim, svakodnevnim pisanim materijalima kao što su oglasi, prospekti, jelovnici i vozni redovi, te mogu razumjeti kratka, jednostavna osobna pisma.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B 1: Mogu razumjeti tekstove koji su uglavnom pisani običnim jezikom ili jezikom moje struke.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Mogu razumjeti opis </w:t>
      </w:r>
      <w:proofErr w:type="spellStart"/>
      <w:r>
        <w:rPr>
          <w:color w:val="000000"/>
        </w:rPr>
        <w:t>dogadaja</w:t>
      </w:r>
      <w:proofErr w:type="spellEnd"/>
      <w:r>
        <w:rPr>
          <w:color w:val="000000"/>
        </w:rPr>
        <w:t>, osjećaja i želja u osobnim pismima.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B 2: Mogu čitati članke i izvještaje koji obrađuju suvremene probleme u kojima pisac zauzima određena stajališta ili izražava određena mišljenja. Mogu razumjeti suvremenu književnu prozu.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C 1: Mogu razumjeti dugačke i kompleksne činjenične i književne tekstove te prepoznati stilske različitosti.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razumjeti specijalizirane članke i duže tehničke upute, čak i kad se ne odnose na moje područje.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C 2: Mogu bez poteškoća čitati sve vrste tekstova, uključivši apstraktne, strukturno ili lingvistički složene tekstove poput priručnika, specijaliziranih članaka i književnih djela.</w:t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GOVOR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lastRenderedPageBreak/>
        <w:t>Govorna interakcija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A 1: Mogu voditi jednostavan razgovor uz uvjet da je sugovornik spreman sporije ponoviti ili preformulirati svoje rečenice te da mi je spreman pomoći da izrazim ono što želim reći.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postavljati i odgovarati na jednostavna pitanja o dobro poznatim temama ili da bih zadovoljio svoje neposredne potrebe.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A 2: 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B 1: Mogu se snalaziti u većini situacija koje se mogu pojaviti tijekom putovanja kroz područje na kojemu se taj jezik govori.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se, bez pripreme, uključiti u razgovor o temama koje su mi poznate, koje su od osobnog interesa ili se odnose na svakodnevni život (npr. na obitelj, hobi, posao, putovanja i tekuće događaje).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B 2: Mogu komunicirati dovoljno tečno i spontano, što omogućuje normalnu interakciju s izvornim govornikom.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aktivno sudjelovati u raspravama unutar poznatih situacija obrazlažući i braneći svoja stajališta.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C 1: Mogu se tečno i spontano izražavati bez vrlo očitog traženja odgovarajućih riječi.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fleksibilno i učinkovito koristiti jezik u društvenim i poslovnim situacijama.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precizno izraziti svoje ideje i mišljenja te se svojim doprinosom spretno uključiti u raspravu drugih govornika.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C 2: Mogu bez napora sudjelovati u bilo kakvom razgovoru ili raspravi uz dobro prepoznavanje i korištenje idiomatskih izraza i </w:t>
      </w:r>
      <w:proofErr w:type="spellStart"/>
      <w:r>
        <w:rPr>
          <w:color w:val="000000"/>
        </w:rPr>
        <w:t>kolokvijalizama</w:t>
      </w:r>
      <w:proofErr w:type="spellEnd"/>
      <w:r>
        <w:rPr>
          <w:color w:val="000000"/>
        </w:rPr>
        <w:t>. Mogu se tečno izražavati i precizno prenositi i finije nijanse značenja. Ako ipak naiđem na problem, mogu se povući i preformuliranjem izražaja zaobići prepreku toliko spretno da to sugovornici jedva i primijete.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rStyle w:val="kurziv"/>
          <w:i/>
          <w:iCs/>
          <w:color w:val="000000"/>
        </w:rPr>
        <w:t>Govorna produkcija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A 1: Mogu koristiti jednostavne fraze i rečenice da bih opisao gdje živim i osobe koje poznajem.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A 2: Mogu koristiti niz fraza i rečenica da bih jednostavnim jezikom opisao svoju obitelj i druge ljude, svoje životne uvjete, svoje obrazovanje te svoje sadašnje ili prethodno radno mjesto.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B 1: Mogu jednostavno povezivati rečenice kako bih opisao doživljaje i događaje, svoje snove, nade i težnje.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ukratko obrazložiti i objasniti svoja stajališta i planove.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lastRenderedPageBreak/>
        <w:t>Mogu ispričati priču ili prepričati sadržaj knjige ili filma te opisati svoje reakcije.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B 2: Mogu jasno i podrobno govoriti o mnogim temama vezanim uz područje vlastitoga interesa.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objasniti svoja stajališta o nekoj aktualnoj temi navodeći prednosti i nedostatke raznih pristupa.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C 1: Mogu iznijeti jasan, podroban opis složenih činjenica, povezujući tematske cjeline, razvijajući određene misli i zaokružujući izlaganje odgovarajućim zaključkom.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C 2: Mogu jasno i tečno iznositi činjenice ili argumente stilom koji odgovara kontekstu.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učinkovito i logično strukturirati svoj prikaz na način koji slušatelju pomaže da uoči i zapamti glavne stavove.</w:t>
      </w:r>
    </w:p>
    <w:p w:rsidR="00B147AE" w:rsidRDefault="00B147AE" w:rsidP="00B147AE">
      <w:pPr>
        <w:pStyle w:val="t-10-9-sred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PISANJE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A 1: Mogu napisati kratku, jednostavnu razglednicu, npr. poslati pozdrave s ljetovanja.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ispuniti formulare osobnim podacima, npr. unijeti svoje ime, državljanstvo i adresu u hotelsku prijavnicu.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A 2: Mogu pisati kratke, jednostavne bilješke i poruke. Mogu napisati vrlo jednostavno osobno pismo, npr. pismo zahvale.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B 1: Mogu napisati jednostavan vezani tekst o poznatoj temi ili temi od osobnog interesa.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napisati osobno pismo opisujući svoje doživljaje i dojmove.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B 2: Mogu napisati jasan, podroban tekst o velikom broju tema s područja svog interesa.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napisati sastav ili izvještaj prenoseći informaciju ili navodeći razloge za ili protiv određenog stajališta.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napisati pismo u kojemu jasno izražavam značenje koje osobno pridajem određenim događajima i iskustvima.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C 1: Mogu se izraziti jasnim, dobro strukturiranim tekstom te obrazlagati svoja stajališta.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pisati o složenim temama u pismu, sastavu ili izvještaju naglašavajući ono što smatram važnim.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odabrati stil koji odgovara čitatelju kojemu je to namijenjeno.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C 2: Mogu napisati jasan, tečan tekst primjerenim stilom.</w:t>
      </w:r>
    </w:p>
    <w:p w:rsidR="00B147AE" w:rsidRDefault="00B147AE" w:rsidP="00B147AE">
      <w:pPr>
        <w:pStyle w:val="t-9-8-bez-uvl"/>
        <w:jc w:val="both"/>
        <w:rPr>
          <w:color w:val="000000"/>
        </w:rPr>
      </w:pPr>
      <w:r>
        <w:rPr>
          <w:color w:val="000000"/>
        </w:rPr>
        <w:t>Mogu pisati složena pisma, izvještaje ili članke u kojima je određena tema jasno i logično iznesena kako bi primatelj mogao uočiti i zapamtiti bitne stavove. Mogu pisati sažetke i prikaze stručnih ili književnih djela.</w:t>
      </w:r>
    </w:p>
    <w:p w:rsidR="00917992" w:rsidRPr="00B147AE" w:rsidRDefault="00917992" w:rsidP="00B147AE"/>
    <w:sectPr w:rsidR="00917992" w:rsidRPr="00B1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C5"/>
    <w:rsid w:val="00917992"/>
    <w:rsid w:val="00B147AE"/>
    <w:rsid w:val="00D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33828-7562-474D-8C9C-0A1934F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6DC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DD6DC5"/>
  </w:style>
  <w:style w:type="paragraph" w:customStyle="1" w:styleId="tb-na18">
    <w:name w:val="tb-na18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147AE"/>
  </w:style>
  <w:style w:type="paragraph" w:customStyle="1" w:styleId="t-10-9-sred">
    <w:name w:val="t-10-9-sred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1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2</cp:revision>
  <dcterms:created xsi:type="dcterms:W3CDTF">2015-01-29T09:39:00Z</dcterms:created>
  <dcterms:modified xsi:type="dcterms:W3CDTF">2015-01-29T09:40:00Z</dcterms:modified>
</cp:coreProperties>
</file>